
<file path=[Content_Types].xml><?xml version="1.0" encoding="utf-8"?>
<Types xmlns="http://schemas.openxmlformats.org/package/2006/content-types">
  <Default Extension="fntdata" ContentType="application/x-fontdata"/>
  <Default Extension="jpeg" ContentType="image/jpeg"/>
  <Default Extension="png" ContentType="image/png"/>
  <Default Extension="rels" ContentType="application/vnd.openxmlformats-package.relationships+xml"/>
  <Default Extension="xml" ContentType="application/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9.odttf" ContentType="application/vnd.openxmlformats-officedocument.obfuscatedFont"/>
  <Override PartName="/word/fonts/font12.odttf" ContentType="application/vnd.openxmlformats-officedocument.obfuscatedFont"/>
  <Override PartName="/word/fonts/font28.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3.odttf" ContentType="application/vnd.openxmlformats-officedocument.obfuscatedFont"/>
  <Override PartName="/word/fonts/font18.odttf" ContentType="application/vnd.openxmlformats-officedocument.obfuscatedFont"/>
  <Override PartName="/word/fonts/font22.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fonts/font24.odttf" ContentType="application/vnd.openxmlformats-officedocument.obfuscatedFont"/>
  <Override PartName="/word/fonts/font25.odttf" ContentType="application/vnd.openxmlformats-officedocument.obfuscatedFont"/>
  <Override PartName="/word/fonts/font26.odttf" ContentType="application/vnd.openxmlformats-officedocument.obfuscatedFont"/>
  <Override PartName="/word/fonts/font27.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docProps/custom.xml" ContentType="application/vnd.openxmlformats-officedocument.custom-properti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1"/>
        <w:widowControl w:val="false"/>
        <w:tabs>
          <w:tab w:val="clear" w:pos="720"/>
          <w:tab w:val="left" w:pos="141" w:leader="none"/>
          <w:tab w:val="left" w:pos="4721" w:leader="none"/>
          <w:tab w:val="left" w:pos="5140" w:leader="none"/>
        </w:tabs>
        <w:spacing w:lineRule="auto" w:line="240" w:before="88" w:after="0"/>
        <w:ind w:hanging="0" w:start="113" w:end="57"/>
        <w:jc w:val="center"/>
        <w:rPr>
          <w:rFonts w:ascii="Garamond" w:hAnsi="Garamond" w:eastAsia="Garamond" w:cs="Garamond"/>
          <w:sz w:val="24"/>
          <w:szCs w:val="24"/>
        </w:rPr>
      </w:pPr>
      <w:r>
        <w:rPr>
          <w:rFonts w:eastAsia="Garamond" w:cs="Garamond" w:ascii="Garamond" w:hAnsi="Garamond"/>
          <w:b/>
          <w:bCs/>
          <w:sz w:val="24"/>
          <w:szCs w:val="24"/>
        </w:rPr>
        <w:t xml:space="preserve">ACCORDO CONTRATTUALE TRA L’AZIENDA USL TOSCANA NORD OVEST E LA STRUTTURA PRIVATA ACCREDITATA TERME DI SAN GIOVANNI ISOLA D'ELBA SRL PER L’EROGAZIONE DI PRESTAZIONI DI RIABILITAZIONE ex PERCORSO 2 </w:t>
      </w:r>
    </w:p>
    <w:p>
      <w:pPr>
        <w:pStyle w:val="normal1"/>
        <w:widowControl w:val="false"/>
        <w:tabs>
          <w:tab w:val="clear" w:pos="720"/>
          <w:tab w:val="left" w:pos="4721" w:leader="none"/>
          <w:tab w:val="left" w:pos="5140" w:leader="none"/>
        </w:tabs>
        <w:spacing w:lineRule="auto" w:line="240" w:before="88" w:after="0"/>
        <w:ind w:hanging="0" w:start="113" w:end="57"/>
        <w:jc w:val="center"/>
        <w:rPr/>
      </w:pPr>
      <w:r>
        <w:rPr>
          <w:rFonts w:eastAsia="Garamond" w:cs="Garamond" w:ascii="Garamond" w:hAnsi="Garamond"/>
          <w:b/>
          <w:bCs/>
          <w:sz w:val="24"/>
          <w:szCs w:val="24"/>
        </w:rPr>
        <w:t>CIG</w:t>
      </w:r>
      <w:r>
        <w:rPr>
          <w:rFonts w:eastAsia="Garamond" w:cs="Garamond" w:ascii="Garamond" w:hAnsi="Garamond"/>
          <w:b/>
          <w:bCs/>
          <w:color w:val="000000"/>
          <w:sz w:val="24"/>
          <w:szCs w:val="24"/>
        </w:rPr>
        <w:t xml:space="preserve"> B9C38F3B6E</w:t>
      </w:r>
    </w:p>
    <w:p>
      <w:pPr>
        <w:pStyle w:val="normal1"/>
        <w:widowControl w:val="false"/>
        <w:spacing w:lineRule="auto" w:line="240" w:before="123" w:after="0"/>
        <w:ind w:hanging="0" w:start="454" w:end="57"/>
        <w:jc w:val="center"/>
        <w:rPr>
          <w:rFonts w:ascii="Garamond" w:hAnsi="Garamond" w:eastAsia="Garamond" w:cs="Garamond"/>
          <w:b/>
          <w:bCs/>
        </w:rPr>
      </w:pPr>
      <w:r>
        <w:rPr>
          <w:rFonts w:eastAsia="Garamond" w:cs="Garamond" w:ascii="Garamond" w:hAnsi="Garamond"/>
          <w:b/>
          <w:bCs/>
        </w:rPr>
        <w:t>TRA</w:t>
      </w:r>
    </w:p>
    <w:p>
      <w:pPr>
        <w:pStyle w:val="normal1"/>
        <w:spacing w:lineRule="auto" w:line="240" w:before="36" w:after="0"/>
        <w:jc w:val="center"/>
        <w:rPr>
          <w:rFonts w:ascii="Garamond" w:hAnsi="Garamond" w:eastAsia="Garamond" w:cs="Garamond"/>
          <w:b/>
          <w:bCs/>
          <w:i w:val="false"/>
          <w:iCs w:val="false"/>
        </w:rPr>
      </w:pPr>
      <w:r>
        <w:rPr>
          <w:rFonts w:eastAsia="Garamond" w:cs="Garamond" w:ascii="Garamond" w:hAnsi="Garamond"/>
          <w:b/>
          <w:bCs/>
          <w:i w:val="false"/>
          <w:iCs w:val="false"/>
        </w:rPr>
      </w:r>
    </w:p>
    <w:p>
      <w:pPr>
        <w:pStyle w:val="normal1"/>
        <w:widowControl w:val="false"/>
        <w:tabs>
          <w:tab w:val="clear" w:pos="720"/>
          <w:tab w:val="left" w:pos="2654" w:leader="none"/>
          <w:tab w:val="left" w:pos="4695" w:leader="none"/>
        </w:tabs>
        <w:spacing w:lineRule="auto" w:line="362"/>
        <w:ind w:hanging="0" w:start="113" w:end="57"/>
        <w:jc w:val="both"/>
        <w:rPr>
          <w:rFonts w:ascii="Garamond" w:hAnsi="Garamond" w:eastAsia="Garamond" w:cs="Garamond"/>
        </w:rPr>
      </w:pPr>
      <w:r>
        <w:rPr>
          <w:rFonts w:eastAsia="Garamond" w:cs="Garamond" w:ascii="Garamond" w:hAnsi="Garamond"/>
          <w:b w:val="false"/>
          <w:bCs w:val="false"/>
        </w:rPr>
        <w:t>l’</w:t>
      </w:r>
      <w:r>
        <w:rPr>
          <w:rFonts w:eastAsia="Garamond" w:cs="Garamond" w:ascii="Garamond" w:hAnsi="Garamond"/>
          <w:b/>
          <w:bCs/>
        </w:rPr>
        <w:t xml:space="preserve">AZIENDA USL TOSCANA NORD OVEST </w:t>
      </w:r>
      <w:r>
        <w:rPr>
          <w:rFonts w:eastAsia="Garamond" w:cs="Garamond" w:ascii="Garamond" w:hAnsi="Garamond"/>
          <w:b w:val="false"/>
          <w:bCs w:val="false"/>
        </w:rPr>
        <w:t xml:space="preserve">di seguito denominata “Azienda”, codice fiscale e partita IVA IT 02198590503, con sede legale in Pisa – Ospedaletto , Via Cocchi 7/9 </w:t>
      </w:r>
      <w:r>
        <w:rPr>
          <w:rFonts w:eastAsia="Garamond" w:cs="Garamond" w:ascii="Garamond" w:hAnsi="Garamond"/>
          <w:b w:val="false"/>
          <w:bCs w:val="false"/>
          <w:sz w:val="26"/>
          <w:szCs w:val="26"/>
        </w:rPr>
        <w:t>nella persona della Dr.ssa Maria Letizia Casani ____________ non in proprio, ma nella sua qualità di Direttore Generale dell’Azienda USL Toscana nordovest ;</w:t>
      </w:r>
    </w:p>
    <w:p>
      <w:pPr>
        <w:pStyle w:val="normal1"/>
        <w:spacing w:lineRule="auto" w:line="240" w:before="168" w:after="0"/>
        <w:ind w:hanging="0" w:start="503" w:end="1490"/>
        <w:jc w:val="center"/>
        <w:rPr>
          <w:rFonts w:ascii="Garamond" w:hAnsi="Garamond" w:eastAsia="Garamond" w:cs="Garamond"/>
          <w:b/>
          <w:bCs/>
        </w:rPr>
      </w:pPr>
      <w:r>
        <w:rPr>
          <w:rFonts w:eastAsia="Garamond" w:cs="Garamond" w:ascii="Garamond" w:hAnsi="Garamond"/>
          <w:b/>
          <w:bCs/>
        </w:rPr>
        <w:t>E</w:t>
      </w:r>
    </w:p>
    <w:p>
      <w:pPr>
        <w:pStyle w:val="normal1"/>
        <w:spacing w:lineRule="auto" w:line="240" w:before="36" w:after="0"/>
        <w:jc w:val="both"/>
        <w:rPr>
          <w:rFonts w:ascii="Garamond" w:hAnsi="Garamond" w:eastAsia="Garamond" w:cs="Garamond"/>
          <w:b/>
          <w:bCs/>
          <w:i w:val="false"/>
          <w:iCs w:val="false"/>
        </w:rPr>
      </w:pPr>
      <w:r>
        <w:rPr>
          <w:rFonts w:eastAsia="Garamond" w:cs="Garamond" w:ascii="Garamond" w:hAnsi="Garamond"/>
          <w:b/>
          <w:bCs/>
          <w:i w:val="false"/>
          <w:iCs w:val="false"/>
        </w:rPr>
      </w:r>
    </w:p>
    <w:p>
      <w:pPr>
        <w:pStyle w:val="normal1"/>
        <w:tabs>
          <w:tab w:val="clear" w:pos="720"/>
          <w:tab w:val="left" w:pos="2654" w:leader="none"/>
          <w:tab w:val="left" w:pos="4695" w:leader="none"/>
        </w:tabs>
        <w:spacing w:lineRule="auto" w:line="362"/>
        <w:ind w:hanging="0" w:start="113" w:end="57"/>
        <w:jc w:val="both"/>
        <w:rPr>
          <w:rFonts w:ascii="Garamond" w:hAnsi="Garamond" w:eastAsia="Garamond" w:cs="Garamond"/>
          <w:b w:val="false"/>
          <w:bCs w:val="false"/>
        </w:rPr>
      </w:pPr>
      <w:r>
        <w:rPr>
          <w:rFonts w:eastAsia="Garamond" w:cs="Garamond" w:ascii="Garamond" w:hAnsi="Garamond"/>
          <w:b w:val="false"/>
          <w:bCs w:val="false"/>
        </w:rPr>
        <w:t xml:space="preserve">la struttura </w:t>
      </w:r>
      <w:r>
        <w:rPr>
          <w:rFonts w:eastAsia="Garamond" w:cs="Garamond" w:ascii="Garamond" w:hAnsi="Garamond"/>
          <w:b/>
          <w:bCs/>
        </w:rPr>
        <w:t>TERME DI SAN GIOVANNI ISOLA D'ELBA SRL</w:t>
      </w:r>
      <w:r>
        <w:rPr>
          <w:rFonts w:eastAsia="Garamond" w:cs="Garamond" w:ascii="Garamond" w:hAnsi="Garamond"/>
          <w:b w:val="false"/>
          <w:bCs w:val="false"/>
        </w:rPr>
        <w:t xml:space="preserve"> con sede legale in Portoferraio (C.F./P.I, 00159230499) di seguito denominata  "Struttura  ",  nella  persona  del  legale rappresentante _______________ domiciliato per la carica presso la suddetta sede;</w:t>
      </w:r>
    </w:p>
    <w:p>
      <w:pPr>
        <w:pStyle w:val="normal1"/>
        <w:spacing w:lineRule="auto" w:line="240" w:before="72" w:after="0"/>
        <w:jc w:val="start"/>
        <w:rPr>
          <w:rFonts w:ascii="Garamond" w:hAnsi="Garamond" w:eastAsia="Garamond" w:cs="Garamond"/>
          <w:b w:val="false"/>
          <w:bCs w:val="false"/>
          <w:i w:val="false"/>
          <w:iCs w:val="false"/>
        </w:rPr>
      </w:pPr>
      <w:r>
        <w:rPr>
          <w:rFonts w:eastAsia="Garamond" w:cs="Garamond" w:ascii="Garamond" w:hAnsi="Garamond"/>
          <w:b w:val="false"/>
          <w:bCs w:val="false"/>
          <w:i w:val="false"/>
          <w:iCs w:val="false"/>
        </w:rPr>
        <w:t xml:space="preserve">                                         </w:t>
      </w:r>
    </w:p>
    <w:p>
      <w:pPr>
        <w:pStyle w:val="normal1"/>
        <w:spacing w:lineRule="auto" w:line="240"/>
        <w:ind w:hanging="0" w:end="1490"/>
        <w:jc w:val="center"/>
        <w:rPr>
          <w:rFonts w:ascii="Garamond" w:hAnsi="Garamond" w:eastAsia="Garamond" w:cs="Garamond"/>
          <w:b/>
          <w:bCs/>
        </w:rPr>
      </w:pPr>
      <w:r>
        <w:rPr>
          <w:rFonts w:eastAsia="Garamond" w:cs="Garamond" w:ascii="Garamond" w:hAnsi="Garamond"/>
          <w:b/>
          <w:bCs/>
        </w:rPr>
        <w:t>VISTI:</w:t>
      </w:r>
    </w:p>
    <w:p>
      <w:pPr>
        <w:pStyle w:val="normal1"/>
        <w:spacing w:lineRule="auto" w:line="240" w:before="60" w:after="0"/>
        <w:jc w:val="start"/>
        <w:rPr>
          <w:rFonts w:ascii="Garamond" w:hAnsi="Garamond" w:eastAsia="Garamond" w:cs="Garamond"/>
        </w:rPr>
      </w:pPr>
      <w:r>
        <w:rPr>
          <w:rFonts w:eastAsia="Garamond" w:cs="Garamond" w:ascii="Garamond" w:hAnsi="Garamond"/>
        </w:rPr>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Decreto Legislativo 30 dicembre 1992, n. 502 e smi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recante “Riordino della disciplina in materia sanitaria”, a norma dell’articolo 1 della Legge 23 ottobre 1992, n. 421” e successive modificazioni;</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Legge Regione Toscana 24 febbraio 2005, n. 40, ss.mm.ii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Disciplina del Servizio Sanitario Regionale”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che ai sensi dell’art 76 stabilisce che le Aziende USL individuano le istituzioni sanitarie private che esercitano ruoli di integrazione delle strutture pubbliche al fine di concorrere all'erogazione delle prestazioni necessarie al conseguimento dei livelli di assistenza definiti dalla programmazione regionale, giungendo alla definizione degli appositi rapporti di cui all’art. 8 del D.Lgs 50/1992 ss.mm.ii.;</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L.R.T. n. 40/2005 ss.mm.ii.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ed in particolare, l’art. 29 –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Finanziamento della mobilità sanitaria</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commi 1, 3, 5 e 6;</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Legge regionale 5 agosto 2009, n. 51</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smi</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“Norme in materia di qualità e sicurezza delle strutture sanitarie: procedure e requisiti autorizzativi di esercizio e sistemi di accreditamento” e s.m.i.;</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il Decreto del Presidente della Giunta Regionale (D.P.G.R.) 17 novembre 2016, n. 79/R, “Regolamento di attuazione della legge regionale 5 agosto 2009, n. 51 “Norme in materia di qualità e sicurezza delle strutture sanitarie: procedure e requisiti autorizzativi di esercizio e sistemi di accreditamento in materia di autorizzazione e accreditamento delle strutture sanitarie”;</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il Decreto del Presidente del Consiglio dei Ministri (D.P.C.M.) 12 gennaio 2017, con il quale sono stati definiti i Livelli Essenziali di Assistenza di cui all’art. 1, comma 7 del D.Lgs 502/92;</w:t>
      </w:r>
    </w:p>
    <w:p>
      <w:pPr>
        <w:pStyle w:val="normal1"/>
        <w:keepNext w:val="false"/>
        <w:keepLines w:val="false"/>
        <w:pageBreakBefore w:val="false"/>
        <w:widowControl w:val="false"/>
        <w:numPr>
          <w:ilvl w:val="0"/>
          <w:numId w:val="2"/>
        </w:numPr>
        <w:pBdr/>
        <w:shd w:val="clear" w:fill="auto"/>
        <w:spacing w:lineRule="auto" w:line="360" w:before="0" w:after="14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Delibera di Giunta Regionale n. 504 del 15 maggio 2017 di recepimento del D.P.C.M. 12 gennaio 2017; </w:t>
      </w:r>
    </w:p>
    <w:p>
      <w:pPr>
        <w:pStyle w:val="normal1"/>
        <w:numPr>
          <w:ilvl w:val="0"/>
          <w:numId w:val="2"/>
        </w:numPr>
        <w:tabs>
          <w:tab w:val="clear" w:pos="720"/>
          <w:tab w:val="left" w:pos="1533" w:leader="none"/>
        </w:tabs>
        <w:spacing w:lineRule="auto" w:line="360" w:before="0" w:after="0"/>
        <w:ind w:hanging="360" w:start="1146"/>
        <w:jc w:val="both"/>
        <w:rPr>
          <w:rFonts w:ascii="Garamond" w:hAnsi="Garamond" w:eastAsia="Garamond" w:cs="Garamond"/>
        </w:rPr>
      </w:pPr>
      <w:r>
        <w:rPr>
          <w:rFonts w:eastAsia="Garamond" w:cs="Garamond" w:ascii="Garamond" w:hAnsi="Garamond"/>
        </w:rPr>
        <w:t xml:space="preserve">il </w:t>
      </w:r>
      <w:r>
        <w:rPr>
          <w:rFonts w:eastAsia="Garamond" w:cs="Garamond" w:ascii="Garamond" w:hAnsi="Garamond"/>
          <w:b/>
          <w:bCs/>
        </w:rPr>
        <w:t>Piano Integrato Socio Sanitario Regionale 2018/2020</w:t>
      </w:r>
      <w:r>
        <w:rPr>
          <w:rFonts w:eastAsia="Garamond" w:cs="Garamond" w:ascii="Garamond" w:hAnsi="Garamond"/>
        </w:rPr>
        <w:t>, approvato con Delibera del Consiglio regionale Toscano n. 73 del 9 ottobre 2019 regionale, il quale fra l’altro stabilisce che le istituzioni private ed i professionisti sono ammessi ad operare nel servizio sanitario, a carico delle risorse regionali disponibili, in un quadro di pari dignità tra produttori ed erogatori e tra soggetti pubblici e privati, solo previa contrattazione con il titolare pubblico della programmazione locale;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1 comma 277 della Legge di Bilancio 2025</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2024, n. 207);</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1 comma 233 della Legge di Bilancio 2024</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(Legge 31 dicembre 2023, n.213);</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Delibera G.R.T. n.1150 del 09/10/2023</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per la parte vigente;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Delibera G.R.T. n. 1339/2022</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“Nuova determinazione tetti massimi per l’acquisto di prestazioni dalle strutture sanitarie private accreditate”;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Delibera G.R.T. n. 1220/2018</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“Determinazione dei tetti massimi per l’acquisto di prestazioni dalle strutture sanitarie private accreditate”.</w:t>
      </w:r>
    </w:p>
    <w:p>
      <w:pPr>
        <w:pStyle w:val="normal1"/>
        <w:numPr>
          <w:ilvl w:val="0"/>
          <w:numId w:val="2"/>
        </w:numPr>
        <w:spacing w:lineRule="auto" w:line="360" w:before="121" w:after="0"/>
        <w:ind w:hanging="360" w:start="1146"/>
        <w:jc w:val="both"/>
        <w:rPr>
          <w:rFonts w:ascii="Garamond" w:hAnsi="Garamond" w:eastAsia="Garamond" w:cs="Garamond"/>
        </w:rPr>
      </w:pPr>
      <w:r>
        <w:rPr>
          <w:rFonts w:eastAsia="Garamond" w:cs="Garamond" w:ascii="Garamond" w:hAnsi="Garamond"/>
          <w:strike w:val="false"/>
          <w:dstrike w:val="false"/>
          <w:color w:val="000000"/>
        </w:rPr>
        <w:t xml:space="preserve">la </w:t>
      </w:r>
      <w:r>
        <w:rPr>
          <w:rFonts w:eastAsia="Garamond" w:cs="Garamond" w:ascii="Garamond" w:hAnsi="Garamond"/>
          <w:b/>
          <w:bCs/>
          <w:strike w:val="false"/>
          <w:dstrike w:val="false"/>
          <w:color w:val="000000"/>
        </w:rPr>
        <w:t>delibera di Giunta Regionale n. n. 1530 del 19.12.2024:</w:t>
      </w:r>
      <w:r>
        <w:rPr>
          <w:rFonts w:eastAsia="Garamond" w:cs="Garamond" w:ascii="Garamond" w:hAnsi="Garamond"/>
          <w:strike w:val="false"/>
          <w:dstrike w:val="false"/>
          <w:color w:val="000000"/>
        </w:rPr>
        <w:t xml:space="preserve"> “Nomenclatore regionale delle prestazioni specialistiche ambulatoriali erogabili nell'ambito del servizio Sanitario Regionale e relative tariffe”;</w:t>
      </w:r>
    </w:p>
    <w:p>
      <w:pPr>
        <w:pStyle w:val="normal1"/>
        <w:keepNext w:val="false"/>
        <w:keepLines w:val="false"/>
        <w:pageBreakBefore w:val="false"/>
        <w:widowControl w:val="false"/>
        <w:numPr>
          <w:ilvl w:val="0"/>
          <w:numId w:val="2"/>
        </w:numPr>
        <w:pBdr/>
        <w:shd w:val="clear" w:fill="auto"/>
        <w:spacing w:lineRule="auto" w:line="360" w:before="12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il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Decreto Dirigenziale Regionale n. 11966 del 04.05.2025</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che ha adottato il catalogo unico regionale delle prestazioni specialistiche ambulatoriali – Versione 4.5;</w:t>
      </w:r>
    </w:p>
    <w:p>
      <w:pPr>
        <w:pStyle w:val="normal1"/>
        <w:numPr>
          <w:ilvl w:val="0"/>
          <w:numId w:val="2"/>
        </w:numPr>
        <w:spacing w:lineRule="auto" w:line="360"/>
        <w:ind w:hanging="360" w:start="1146"/>
        <w:jc w:val="both"/>
        <w:rPr>
          <w:rFonts w:ascii="Garamond" w:hAnsi="Garamond" w:eastAsia="Garamond" w:cs="Garamond"/>
        </w:rPr>
      </w:pPr>
      <w:r>
        <w:rPr>
          <w:rFonts w:eastAsia="Garamond" w:cs="Garamond" w:ascii="Garamond" w:hAnsi="Garamond"/>
        </w:rPr>
        <w:t xml:space="preserve">il </w:t>
      </w:r>
      <w:r>
        <w:rPr>
          <w:rFonts w:eastAsia="Garamond" w:cs="Garamond" w:ascii="Garamond" w:hAnsi="Garamond"/>
          <w:b/>
          <w:bCs/>
        </w:rPr>
        <w:t xml:space="preserve">Decreto Regione Toscana 16 Marzo 2012, n. 1028 </w:t>
      </w:r>
      <w:r>
        <w:rPr>
          <w:rFonts w:eastAsia="Garamond" w:cs="Garamond" w:ascii="Garamond" w:hAnsi="Garamond"/>
        </w:rPr>
        <w:t>“DRG 1062/2011: Approvazione schema di contratto-tipo tra le Aree Vaste e le strutture ospedaliere private accreditate”;</w:t>
      </w:r>
    </w:p>
    <w:p>
      <w:pPr>
        <w:pStyle w:val="normal1"/>
        <w:numPr>
          <w:ilvl w:val="0"/>
          <w:numId w:val="2"/>
        </w:numPr>
        <w:spacing w:lineRule="auto" w:line="360"/>
        <w:ind w:hanging="360" w:start="1146"/>
        <w:jc w:val="both"/>
        <w:rPr>
          <w:rFonts w:ascii="Garamond" w:hAnsi="Garamond" w:eastAsia="Garamond" w:cs="Garamond"/>
        </w:rPr>
      </w:pPr>
      <w:r>
        <w:rPr>
          <w:rFonts w:eastAsia="Garamond" w:cs="Garamond" w:ascii="Garamond" w:hAnsi="Garamond"/>
          <w:strike w:val="false"/>
          <w:dstrike w:val="false"/>
        </w:rPr>
        <w:t xml:space="preserve">il </w:t>
      </w:r>
      <w:r>
        <w:rPr>
          <w:rFonts w:eastAsia="Garamond" w:cs="Garamond" w:ascii="Garamond" w:hAnsi="Garamond"/>
          <w:b/>
          <w:bCs/>
          <w:strike w:val="false"/>
          <w:dstrike w:val="false"/>
        </w:rPr>
        <w:t>Regolamento Europeo n. 2016/679 (GDPR)</w:t>
      </w:r>
      <w:r>
        <w:rPr>
          <w:rFonts w:eastAsia="Garamond" w:cs="Garamond" w:ascii="Garamond" w:hAnsi="Garamond"/>
          <w:strike w:val="false"/>
          <w:dstrike w:val="false"/>
        </w:rPr>
        <w:t xml:space="preserve"> ed il Codice nazionale di cui al decreto legislativo 196/2003 modificato in particolare dal Decreto Legislativo 10 agosto 2018, n. 101;</w:t>
      </w:r>
    </w:p>
    <w:p>
      <w:pPr>
        <w:pStyle w:val="normal1"/>
        <w:keepNext w:val="false"/>
        <w:keepLines w:val="false"/>
        <w:pageBreakBefore w:val="false"/>
        <w:widowControl w:val="false"/>
        <w:numPr>
          <w:ilvl w:val="0"/>
          <w:numId w:val="2"/>
        </w:numPr>
        <w:pBdr/>
        <w:shd w:val="clear" w:fill="auto"/>
        <w:tabs>
          <w:tab w:val="clear" w:pos="720"/>
          <w:tab w:val="left" w:pos="796" w:leader="none"/>
          <w:tab w:val="left" w:pos="1175" w:leader="none"/>
        </w:tabs>
        <w:spacing w:lineRule="auto" w:line="348" w:before="109"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 xml:space="preserve">deliberazione del direttore Generale n. 1203 del 10.12.2025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con la quale sono stati rinnovati per l’anno 2026 gli accordi contrattuali con strutture private accreditate varie per l'erogazione di prestazioni di riabilitazione per Ricoveri cod. 56, per Medicina fisica Riabilitativa (ex P2), per Riabilitazione ex art. 26 e per Residenzialità territoriale USV: ricognizione degli accordi in scadenza al 31 dicembre 2025, contestualmente si procedeva alla nuova stipula di atti convenzionali con fornitori della Zona Elba per assistenza riabilitazione ex percorso 2.</w:t>
      </w:r>
    </w:p>
    <w:p>
      <w:pPr>
        <w:pStyle w:val="normal1"/>
        <w:keepNext w:val="false"/>
        <w:keepLines w:val="false"/>
        <w:pageBreakBefore w:val="false"/>
        <w:widowControl w:val="false"/>
        <w:pBdr/>
        <w:shd w:val="clear" w:fill="auto"/>
        <w:tabs>
          <w:tab w:val="clear" w:pos="720"/>
          <w:tab w:val="left" w:pos="796" w:leader="none"/>
          <w:tab w:val="left" w:pos="1175" w:leader="none"/>
        </w:tabs>
        <w:spacing w:lineRule="auto" w:line="348" w:before="109" w:after="0"/>
        <w:ind w:hanging="0" w:start="455"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spacing w:lineRule="auto" w:line="240" w:before="89" w:after="0"/>
        <w:ind w:hanging="0" w:start="3130"/>
        <w:jc w:val="start"/>
        <w:rPr>
          <w:rFonts w:ascii="Garamond" w:hAnsi="Garamond" w:eastAsia="Garamond" w:cs="Garamond"/>
        </w:rPr>
      </w:pPr>
      <w:r>
        <w:rPr>
          <w:rFonts w:eastAsia="Garamond" w:cs="Garamond" w:ascii="Garamond" w:hAnsi="Garamond"/>
          <w:b/>
          <w:bCs/>
        </w:rPr>
        <w:t>PREMESSO ALTRESI’</w:t>
      </w:r>
    </w:p>
    <w:p>
      <w:pPr>
        <w:pStyle w:val="normal1"/>
        <w:spacing w:lineRule="auto" w:line="240" w:before="89" w:after="0"/>
        <w:ind w:hanging="0" w:start="3130"/>
        <w:jc w:val="start"/>
        <w:rPr>
          <w:rFonts w:ascii="Garamond" w:hAnsi="Garamond" w:eastAsia="Garamond" w:cs="Garamond"/>
          <w:b/>
          <w:bCs/>
        </w:rPr>
      </w:pPr>
      <w:r>
        <w:rPr>
          <w:rFonts w:eastAsia="Garamond" w:cs="Garamond" w:ascii="Garamond" w:hAnsi="Garamond"/>
          <w:b/>
          <w:bCs/>
        </w:rPr>
      </w:r>
    </w:p>
    <w:p>
      <w:pPr>
        <w:pStyle w:val="normal1"/>
        <w:widowControl w:val="false"/>
        <w:numPr>
          <w:ilvl w:val="0"/>
          <w:numId w:val="5"/>
        </w:numPr>
        <w:tabs>
          <w:tab w:val="clear" w:pos="720"/>
          <w:tab w:val="left" w:pos="866" w:leader="none"/>
          <w:tab w:val="left" w:pos="1589" w:leader="none"/>
          <w:tab w:val="left" w:pos="5927" w:leader="none"/>
        </w:tabs>
        <w:spacing w:lineRule="auto" w:line="353"/>
        <w:ind w:hanging="340" w:start="850" w:end="0"/>
        <w:jc w:val="both"/>
        <w:rPr/>
      </w:pPr>
      <w:r>
        <w:rPr>
          <w:rFonts w:eastAsia="Garamond" w:cs="Garamond" w:ascii="Garamond" w:hAnsi="Garamond"/>
          <w:b w:val="false"/>
          <w:bCs w:val="false"/>
        </w:rPr>
        <w:tab/>
        <w:t>che la struttura è in possesso dell’autorizzazione all’esercizio delle attività sanitarie rilasciata dal Comune di Portoferraio con provvedimento 2/2022 del 25/7/2022;</w:t>
      </w:r>
    </w:p>
    <w:p>
      <w:pPr>
        <w:pStyle w:val="normal1"/>
        <w:spacing w:lineRule="auto" w:line="240" w:before="8" w:after="0"/>
        <w:jc w:val="start"/>
        <w:rPr>
          <w:rFonts w:ascii="Garamond" w:hAnsi="Garamond" w:eastAsia="Garamond" w:cs="Garamond"/>
          <w:b w:val="false"/>
          <w:bCs w:val="false"/>
          <w:i w:val="false"/>
          <w:iCs w:val="false"/>
        </w:rPr>
      </w:pPr>
      <w:r>
        <w:rPr>
          <w:rFonts w:eastAsia="Garamond" w:cs="Garamond" w:ascii="Garamond" w:hAnsi="Garamond"/>
          <w:b w:val="false"/>
          <w:bCs w:val="false"/>
          <w:i w:val="false"/>
          <w:iCs w:val="false"/>
        </w:rPr>
      </w:r>
    </w:p>
    <w:p>
      <w:pPr>
        <w:pStyle w:val="normal1"/>
        <w:widowControl w:val="false"/>
        <w:numPr>
          <w:ilvl w:val="0"/>
          <w:numId w:val="5"/>
        </w:numPr>
        <w:tabs>
          <w:tab w:val="clear" w:pos="720"/>
          <w:tab w:val="left" w:pos="866" w:leader="none"/>
          <w:tab w:val="left" w:pos="1637" w:leader="none"/>
          <w:tab w:val="left" w:pos="5828" w:leader="none"/>
          <w:tab w:val="left" w:pos="7253" w:leader="none"/>
        </w:tabs>
        <w:spacing w:lineRule="auto" w:line="358"/>
        <w:ind w:hanging="340" w:start="850" w:end="57"/>
        <w:jc w:val="both"/>
        <w:rPr/>
      </w:pPr>
      <w:r>
        <w:rPr>
          <w:rFonts w:eastAsia="Garamond" w:cs="Garamond" w:ascii="Garamond" w:hAnsi="Garamond"/>
          <w:b w:val="false"/>
          <w:bCs w:val="false"/>
        </w:rPr>
        <w:tab/>
        <w:t>che la struttura è in possesso dell’accreditamento istituzionale rilasciato con Decreto dirigenziale della Regione Toscana – Direzione Diritti di Cittadinanza e Coesione sociale n. 15454 del 03.08.2022 per il processo ambulatoriale di riabilitazione;</w:t>
      </w:r>
    </w:p>
    <w:p>
      <w:pPr>
        <w:pStyle w:val="normal1"/>
        <w:widowControl w:val="false"/>
        <w:numPr>
          <w:ilvl w:val="0"/>
          <w:numId w:val="5"/>
        </w:numPr>
        <w:tabs>
          <w:tab w:val="clear" w:pos="720"/>
          <w:tab w:val="left" w:pos="866" w:leader="none"/>
          <w:tab w:val="left" w:pos="1633" w:leader="none"/>
        </w:tabs>
        <w:spacing w:lineRule="auto" w:line="358" w:before="150" w:after="0"/>
        <w:ind w:hanging="340" w:start="850" w:end="0"/>
        <w:jc w:val="both"/>
        <w:rPr/>
      </w:pPr>
      <w:r>
        <w:rPr>
          <w:rFonts w:eastAsia="Garamond" w:cs="Garamond" w:ascii="Garamond" w:hAnsi="Garamond"/>
          <w:b w:val="false"/>
          <w:bCs w:val="false"/>
        </w:rPr>
        <w:tab/>
        <w:t>che la Struttura si rende disponibile a garantire l’offerta della propria collaborazione, per la quantità e la qualità delle prestazioni inserite nel presente Accordo Contrattuale, e nello specifico per prestazioni di riabilitazione ambulatoriale ex Percorso 2 rivolte esclusivamente a pazienti residenti presso la Ausl Toscana Nord Ovest</w:t>
      </w:r>
    </w:p>
    <w:p>
      <w:pPr>
        <w:pStyle w:val="normal1"/>
        <w:spacing w:lineRule="auto" w:line="240" w:before="100" w:after="0"/>
        <w:jc w:val="start"/>
        <w:rPr>
          <w:rFonts w:ascii="Garamond" w:hAnsi="Garamond" w:eastAsia="Garamond" w:cs="Garamond"/>
          <w:b w:val="false"/>
          <w:bCs w:val="false"/>
          <w:i w:val="false"/>
          <w:iCs w:val="false"/>
        </w:rPr>
      </w:pPr>
      <w:r>
        <w:rPr>
          <w:rFonts w:eastAsia="Garamond" w:cs="Garamond" w:ascii="Garamond" w:hAnsi="Garamond"/>
          <w:b w:val="false"/>
          <w:bCs w:val="false"/>
          <w:i w:val="false"/>
          <w:iCs w:val="false"/>
        </w:rPr>
      </w:r>
    </w:p>
    <w:p>
      <w:pPr>
        <w:pStyle w:val="normal1"/>
        <w:widowControl w:val="false"/>
        <w:spacing w:lineRule="auto" w:line="466"/>
        <w:ind w:firstLine="57" w:start="454" w:end="397"/>
        <w:jc w:val="both"/>
        <w:rPr>
          <w:rFonts w:ascii="Garamond" w:hAnsi="Garamond" w:eastAsia="Garamond" w:cs="Garamond"/>
        </w:rPr>
      </w:pPr>
      <w:r>
        <w:rPr>
          <w:rFonts w:eastAsia="Garamond" w:cs="Garamond" w:ascii="Garamond" w:hAnsi="Garamond"/>
          <w:b/>
          <w:bCs/>
        </w:rPr>
        <w:t>TANTO PREMESSO SI CONVIENE E SI STIPULA QUANTO SEGUE</w:t>
      </w:r>
    </w:p>
    <w:p>
      <w:pPr>
        <w:pStyle w:val="normal1"/>
        <w:widowControl w:val="false"/>
        <w:spacing w:lineRule="auto" w:line="466"/>
        <w:ind w:firstLine="57" w:start="454" w:end="397"/>
        <w:jc w:val="both"/>
        <w:rPr>
          <w:rFonts w:ascii="Garamond" w:hAnsi="Garamond" w:eastAsia="Garamond" w:cs="Garamond"/>
          <w:b/>
          <w:bCs/>
        </w:rPr>
      </w:pPr>
      <w:r>
        <w:rPr>
          <w:rFonts w:eastAsia="Garamond" w:cs="Garamond" w:ascii="Garamond" w:hAnsi="Garamond"/>
          <w:b/>
          <w:bCs/>
        </w:rPr>
      </w:r>
    </w:p>
    <w:p>
      <w:pPr>
        <w:pStyle w:val="normal1"/>
        <w:widowControl w:val="false"/>
        <w:spacing w:lineRule="auto" w:line="466"/>
        <w:ind w:firstLine="57" w:start="454" w:end="1247"/>
        <w:jc w:val="start"/>
        <w:rPr>
          <w:rFonts w:ascii="Garamond" w:hAnsi="Garamond" w:eastAsia="Garamond" w:cs="Garamond"/>
          <w:b/>
          <w:bCs/>
        </w:rPr>
      </w:pPr>
      <w:r>
        <w:rPr>
          <w:rFonts w:eastAsia="Garamond" w:cs="Garamond" w:ascii="Garamond" w:hAnsi="Garamond"/>
          <w:b/>
          <w:bCs/>
        </w:rPr>
        <w:t>ART. 1 PREMESSE</w:t>
      </w:r>
    </w:p>
    <w:p>
      <w:pPr>
        <w:pStyle w:val="normal1"/>
        <w:widowControl w:val="false"/>
        <w:spacing w:lineRule="auto" w:line="240" w:before="116" w:after="0"/>
        <w:ind w:hanging="0" w:start="454" w:end="0"/>
        <w:jc w:val="both"/>
        <w:rPr>
          <w:rFonts w:ascii="Garamond" w:hAnsi="Garamond" w:eastAsia="Garamond" w:cs="Garamond"/>
        </w:rPr>
      </w:pPr>
      <w:r>
        <w:rPr>
          <w:rFonts w:eastAsia="Garamond" w:cs="Garamond" w:ascii="Garamond" w:hAnsi="Garamond"/>
          <w:b w:val="false"/>
          <w:bCs w:val="false"/>
        </w:rPr>
        <w:t>Le premesse costituiscono parte integrante e sostanziale del presente atto.</w:t>
      </w:r>
    </w:p>
    <w:p>
      <w:pPr>
        <w:pStyle w:val="normal1"/>
        <w:widowControl w:val="false"/>
        <w:spacing w:lineRule="auto" w:line="240" w:before="248" w:after="0"/>
        <w:ind w:hanging="0" w:start="454" w:end="0"/>
        <w:jc w:val="start"/>
        <w:rPr>
          <w:rFonts w:ascii="Garamond" w:hAnsi="Garamond" w:eastAsia="Garamond" w:cs="Garamond"/>
          <w:b/>
          <w:bCs/>
        </w:rPr>
      </w:pPr>
      <w:r>
        <w:rPr>
          <w:rFonts w:eastAsia="Garamond" w:cs="Garamond" w:ascii="Garamond" w:hAnsi="Garamond"/>
          <w:b/>
          <w:bCs/>
        </w:rPr>
      </w:r>
    </w:p>
    <w:p>
      <w:pPr>
        <w:pStyle w:val="normal1"/>
        <w:widowControl w:val="false"/>
        <w:spacing w:lineRule="auto" w:line="240" w:before="248" w:after="0"/>
        <w:ind w:hanging="0" w:start="454" w:end="0"/>
        <w:jc w:val="start"/>
        <w:rPr>
          <w:rFonts w:ascii="Garamond" w:hAnsi="Garamond" w:eastAsia="Garamond" w:cs="Garamond"/>
        </w:rPr>
      </w:pPr>
      <w:r>
        <w:rPr>
          <w:rFonts w:eastAsia="Garamond" w:cs="Garamond" w:ascii="Garamond" w:hAnsi="Garamond"/>
          <w:b/>
          <w:bCs/>
        </w:rPr>
        <w:t>ART. 2 - OGGETTO DEL CONTRATTO</w:t>
      </w:r>
    </w:p>
    <w:p>
      <w:pPr>
        <w:pStyle w:val="normal1"/>
        <w:widowControl w:val="false"/>
        <w:numPr>
          <w:ilvl w:val="1"/>
          <w:numId w:val="4"/>
        </w:numPr>
        <w:tabs>
          <w:tab w:val="clear" w:pos="720"/>
          <w:tab w:val="left" w:pos="483" w:leader="none"/>
        </w:tabs>
        <w:spacing w:lineRule="auto" w:line="360" w:before="256" w:after="0"/>
        <w:ind w:hanging="0" w:start="454" w:end="57"/>
        <w:jc w:val="both"/>
        <w:rPr/>
      </w:pPr>
      <w:r>
        <w:rPr>
          <w:rFonts w:eastAsia="Garamond" w:cs="Garamond" w:ascii="Garamond" w:hAnsi="Garamond"/>
          <w:b w:val="false"/>
          <w:bCs w:val="false"/>
        </w:rPr>
        <w:t>- In applicazione della deliberazione del Direttore Generale n. 1203 del 10.12.25 si affida a TERME DI SAN GIOVANNI ISOLA D'ELBA SRL l’erogazione delle prestazioni riabilitative ex percorso 2  codice catalogo LR001 e LR014;</w:t>
      </w:r>
    </w:p>
    <w:p>
      <w:pPr>
        <w:pStyle w:val="normal1"/>
        <w:widowControl w:val="false"/>
        <w:numPr>
          <w:ilvl w:val="1"/>
          <w:numId w:val="4"/>
        </w:numPr>
        <w:tabs>
          <w:tab w:val="clear" w:pos="720"/>
          <w:tab w:val="left" w:pos="545" w:leader="none"/>
        </w:tabs>
        <w:spacing w:lineRule="auto" w:line="360" w:before="119" w:after="0"/>
        <w:ind w:firstLine="57" w:start="454" w:end="0"/>
        <w:jc w:val="both"/>
        <w:rPr/>
      </w:pPr>
      <w:r>
        <w:rPr>
          <w:rFonts w:eastAsia="Garamond" w:cs="Garamond" w:ascii="Garamond" w:hAnsi="Garamond"/>
          <w:b w:val="false"/>
          <w:bCs w:val="false"/>
        </w:rPr>
        <w:t>- L’attività è erogata esclusivamente a favore degli iscritti al Servizio Sanitario Nazionale nella struttura oggetto di accreditamento, nei limiti definiti dal presente Accordo contrattuale.</w:t>
      </w:r>
    </w:p>
    <w:p>
      <w:pPr>
        <w:pStyle w:val="normal1"/>
        <w:widowControl w:val="false"/>
        <w:spacing w:lineRule="auto" w:line="240" w:before="113" w:after="0"/>
        <w:ind w:hanging="0" w:start="454" w:end="0"/>
        <w:jc w:val="start"/>
        <w:rPr>
          <w:rFonts w:ascii="Garamond" w:hAnsi="Garamond" w:eastAsia="Garamond" w:cs="Garamond"/>
          <w:b/>
          <w:bCs/>
        </w:rPr>
      </w:pPr>
      <w:r>
        <w:rPr>
          <w:rFonts w:eastAsia="Garamond" w:cs="Garamond" w:ascii="Garamond" w:hAnsi="Garamond"/>
          <w:b/>
          <w:bCs/>
        </w:rPr>
      </w:r>
    </w:p>
    <w:p>
      <w:pPr>
        <w:pStyle w:val="normal1"/>
        <w:widowControl w:val="false"/>
        <w:spacing w:lineRule="auto" w:line="240" w:before="113" w:after="0"/>
        <w:ind w:hanging="0" w:start="454" w:end="0"/>
        <w:jc w:val="start"/>
        <w:rPr>
          <w:rFonts w:ascii="Garamond" w:hAnsi="Garamond" w:eastAsia="Garamond" w:cs="Garamond"/>
        </w:rPr>
      </w:pPr>
      <w:r>
        <w:rPr>
          <w:rFonts w:eastAsia="Garamond" w:cs="Garamond" w:ascii="Garamond" w:hAnsi="Garamond"/>
          <w:b/>
          <w:bCs/>
        </w:rPr>
        <w:t xml:space="preserve">ART. </w:t>
      </w:r>
      <w:r>
        <w:rPr>
          <w:rFonts w:eastAsia="Garamond" w:cs="Garamond" w:ascii="Garamond" w:hAnsi="Garamond"/>
          <w:b/>
          <w:bCs/>
          <w:i/>
          <w:iCs/>
          <w:sz w:val="25"/>
          <w:szCs w:val="25"/>
        </w:rPr>
        <w:t xml:space="preserve">3 </w:t>
      </w:r>
      <w:r>
        <w:rPr>
          <w:rFonts w:eastAsia="Garamond" w:cs="Garamond" w:ascii="Garamond" w:hAnsi="Garamond"/>
          <w:b/>
          <w:bCs/>
          <w:i w:val="false"/>
          <w:iCs w:val="false"/>
        </w:rPr>
        <w:t>– ATTIVITA’- MODALITA’ DI EROGAZIONE</w:t>
      </w:r>
    </w:p>
    <w:p>
      <w:pPr>
        <w:pStyle w:val="normal1"/>
        <w:widowControl w:val="false"/>
        <w:tabs>
          <w:tab w:val="clear" w:pos="720"/>
          <w:tab w:val="left" w:pos="557" w:leader="none"/>
        </w:tabs>
        <w:spacing w:lineRule="auto" w:line="360" w:before="251" w:after="0"/>
        <w:ind w:hanging="0" w:start="600" w:end="0"/>
        <w:jc w:val="both"/>
        <w:rPr>
          <w:rFonts w:ascii="Garamond" w:hAnsi="Garamond" w:eastAsia="Garamond" w:cs="Garamond"/>
        </w:rPr>
      </w:pPr>
      <w:r>
        <w:rPr>
          <w:rFonts w:eastAsia="Garamond" w:cs="Garamond" w:ascii="Garamond" w:hAnsi="Garamond"/>
          <w:b w:val="false"/>
          <w:bCs w:val="false"/>
        </w:rPr>
        <w:t>3.1 - In esecuzione della richiamata deliberazione Direttore Generale n. 1203 del 10.12.25 l’Azienda richiede, e la Struttura accetta, nell’ambito delle prestazioni consentite dall’accreditamento ed entro il limite del tetto di spesa unico ed omnicomprensivo così definito dal 01.01.2026 al 31.12.2026 € 20.000,00 (Valore lordo di produzione).</w:t>
      </w:r>
    </w:p>
    <w:p>
      <w:pPr>
        <w:pStyle w:val="normal1"/>
        <w:widowControl w:val="false"/>
        <w:tabs>
          <w:tab w:val="clear" w:pos="720"/>
          <w:tab w:val="left" w:pos="569" w:leader="none"/>
          <w:tab w:val="left" w:pos="7792" w:leader="none"/>
        </w:tabs>
        <w:spacing w:lineRule="auto" w:line="360" w:before="89" w:after="0"/>
        <w:ind w:hanging="0" w:start="600" w:end="57"/>
        <w:jc w:val="both"/>
        <w:rPr/>
      </w:pPr>
      <w:r>
        <w:rPr>
          <w:rFonts w:eastAsia="Garamond" w:cs="Garamond" w:ascii="Garamond" w:hAnsi="Garamond"/>
          <w:b w:val="false"/>
          <w:bCs w:val="false"/>
        </w:rPr>
        <w:t>3.2 - La struttura garantisce l’esecuzione delle attività oggetto del presente contratto presso la struttura, ubicata</w:t>
      </w:r>
      <w:r>
        <w:rPr>
          <w:rFonts w:eastAsia="Garamond" w:cs="Garamond" w:ascii="Garamond" w:hAnsi="Garamond"/>
          <w:b w:val="false"/>
          <w:bCs w:val="false"/>
          <w:color w:val="000000"/>
          <w:sz w:val="24"/>
          <w:szCs w:val="24"/>
        </w:rPr>
        <w:t xml:space="preserve"> a Portoferraio (LI) in via Francesco Domenico Guerrazzi n. 95 come d</w:t>
      </w:r>
      <w:r>
        <w:rPr>
          <w:rFonts w:eastAsia="Garamond" w:cs="Garamond" w:ascii="Garamond" w:hAnsi="Garamond"/>
          <w:b w:val="false"/>
          <w:bCs w:val="false"/>
        </w:rPr>
        <w:t>a autorizzazione ed atto di accreditamento di cui in premessa.</w:t>
      </w:r>
    </w:p>
    <w:p>
      <w:pPr>
        <w:pStyle w:val="normal1"/>
        <w:widowControl w:val="false"/>
        <w:tabs>
          <w:tab w:val="clear" w:pos="720"/>
          <w:tab w:val="left" w:pos="495" w:leader="none"/>
        </w:tabs>
        <w:spacing w:lineRule="auto" w:line="360" w:before="121" w:after="0"/>
        <w:ind w:hanging="0" w:start="600" w:end="0"/>
        <w:jc w:val="both"/>
        <w:rPr>
          <w:rFonts w:ascii="Garamond" w:hAnsi="Garamond" w:eastAsia="Garamond" w:cs="Garamond"/>
        </w:rPr>
      </w:pPr>
      <w:r>
        <w:rPr>
          <w:rFonts w:eastAsia="Garamond" w:cs="Garamond" w:ascii="Garamond" w:hAnsi="Garamond"/>
          <w:b w:val="false"/>
          <w:bCs w:val="false"/>
        </w:rPr>
        <w:t>3.3 - Il presente contratto è prorogabile/rinnovabile ai sensi e nei modi e limiti previsti dalla DGRT 1339/2022 nell’attesa che la Regione Toscana emani i criteri per l’attivazione delle relative manifestazioni di interesse;</w:t>
      </w:r>
    </w:p>
    <w:p>
      <w:pPr>
        <w:pStyle w:val="normal1"/>
        <w:widowControl w:val="false"/>
        <w:spacing w:lineRule="auto" w:line="360" w:before="119" w:after="0"/>
        <w:ind w:hanging="0" w:start="454" w:end="0"/>
        <w:jc w:val="both"/>
        <w:rPr>
          <w:rFonts w:ascii="Garamond" w:hAnsi="Garamond" w:eastAsia="Garamond" w:cs="Garamond"/>
        </w:rPr>
      </w:pPr>
      <w:r>
        <w:rPr>
          <w:rFonts w:eastAsia="Garamond" w:cs="Garamond" w:ascii="Garamond" w:hAnsi="Garamond"/>
          <w:b w:val="false"/>
          <w:bCs w:val="false"/>
        </w:rPr>
        <w:t>In ogni caso, l’Azienda si riserva la facoltà, sentita la struttura, di rimodulare i volumi di attività in caso di norme, regionali o nazionali, sopravvenute.</w:t>
      </w:r>
    </w:p>
    <w:p>
      <w:pPr>
        <w:pStyle w:val="normal1"/>
        <w:widowControl w:val="false"/>
        <w:tabs>
          <w:tab w:val="clear" w:pos="720"/>
          <w:tab w:val="left" w:pos="538" w:leader="none"/>
        </w:tabs>
        <w:spacing w:lineRule="auto" w:line="360" w:before="120" w:after="0"/>
        <w:ind w:hanging="0" w:start="600" w:end="0"/>
        <w:jc w:val="both"/>
        <w:rPr>
          <w:rFonts w:ascii="Garamond" w:hAnsi="Garamond" w:eastAsia="Garamond" w:cs="Garamond"/>
        </w:rPr>
      </w:pPr>
      <w:r>
        <w:rPr>
          <w:rFonts w:eastAsia="Garamond" w:cs="Garamond" w:ascii="Garamond" w:hAnsi="Garamond"/>
          <w:b w:val="false"/>
          <w:bCs w:val="false"/>
        </w:rPr>
        <w:t>3.4 - La Struttura si impegna ad eseguire le attività oggetto del contratto nel rispetto dei corrispondenti volumi economici assegnati</w:t>
      </w:r>
    </w:p>
    <w:p>
      <w:pPr>
        <w:pStyle w:val="normal1"/>
        <w:widowControl w:val="false"/>
        <w:tabs>
          <w:tab w:val="clear" w:pos="720"/>
          <w:tab w:val="left" w:pos="509" w:leader="none"/>
        </w:tabs>
        <w:spacing w:lineRule="auto" w:line="360" w:before="120" w:after="0"/>
        <w:ind w:hanging="0" w:start="600" w:end="0"/>
        <w:jc w:val="both"/>
        <w:rPr>
          <w:rFonts w:ascii="Garamond" w:hAnsi="Garamond" w:eastAsia="Garamond" w:cs="Garamond"/>
        </w:rPr>
      </w:pPr>
      <w:r>
        <w:rPr>
          <w:rFonts w:eastAsia="Garamond" w:cs="Garamond" w:ascii="Garamond" w:hAnsi="Garamond"/>
          <w:b w:val="false"/>
          <w:bCs w:val="false"/>
        </w:rPr>
        <w:t>3.5 - L’Azienda è esonerata da ogni obbligo nei confronti della Struttura sia per l’attività eseguita eccedente i volumi di attività definiti.</w:t>
      </w:r>
    </w:p>
    <w:p>
      <w:pPr>
        <w:pStyle w:val="normal1"/>
        <w:widowControl w:val="false"/>
        <w:tabs>
          <w:tab w:val="clear" w:pos="720"/>
          <w:tab w:val="left" w:pos="512" w:leader="none"/>
        </w:tabs>
        <w:spacing w:lineRule="auto" w:line="360" w:before="120" w:after="0"/>
        <w:ind w:hanging="0" w:start="600" w:end="0"/>
        <w:jc w:val="both"/>
        <w:rPr>
          <w:rFonts w:ascii="Garamond" w:hAnsi="Garamond" w:eastAsia="Garamond" w:cs="Garamond"/>
        </w:rPr>
      </w:pPr>
      <w:r>
        <w:rPr>
          <w:rFonts w:eastAsia="Garamond" w:cs="Garamond" w:ascii="Garamond" w:hAnsi="Garamond"/>
          <w:b w:val="false"/>
          <w:bCs w:val="false"/>
        </w:rPr>
        <w:t>3.6 - La Struttura si impegna ad assicurare coerenza fra quanto indicato nei flussi informativi regionali SPA, e gli importi fatturati all’Azienda.</w:t>
      </w:r>
    </w:p>
    <w:p>
      <w:pPr>
        <w:pStyle w:val="normal1"/>
        <w:tabs>
          <w:tab w:val="clear" w:pos="720"/>
          <w:tab w:val="left" w:pos="512" w:leader="none"/>
        </w:tabs>
        <w:spacing w:lineRule="auto" w:line="360" w:before="120" w:after="0"/>
        <w:ind w:hanging="0" w:start="146" w:end="1653"/>
        <w:jc w:val="start"/>
        <w:rPr>
          <w:rFonts w:ascii="Garamond" w:hAnsi="Garamond" w:eastAsia="Garamond" w:cs="Garamond"/>
          <w:b w:val="false"/>
          <w:bCs w:val="false"/>
        </w:rPr>
      </w:pPr>
      <w:r>
        <w:rPr>
          <w:rFonts w:eastAsia="Garamond" w:cs="Garamond" w:ascii="Garamond" w:hAnsi="Garamond"/>
          <w:b w:val="false"/>
          <w:bCs w:val="false"/>
        </w:rPr>
      </w:r>
    </w:p>
    <w:p>
      <w:pPr>
        <w:pStyle w:val="normal1"/>
        <w:widowControl w:val="false"/>
        <w:spacing w:lineRule="auto" w:line="240" w:before="120" w:after="0"/>
        <w:ind w:hanging="0" w:start="454" w:end="0"/>
        <w:jc w:val="both"/>
        <w:rPr>
          <w:rFonts w:ascii="Garamond" w:hAnsi="Garamond" w:eastAsia="Garamond" w:cs="Garamond"/>
        </w:rPr>
      </w:pPr>
      <w:r>
        <w:rPr>
          <w:rFonts w:eastAsia="Garamond" w:cs="Garamond" w:ascii="Garamond" w:hAnsi="Garamond"/>
          <w:b/>
          <w:bCs/>
        </w:rPr>
        <w:t>ART. 4 - VOLUME ECONOMICO</w:t>
      </w:r>
    </w:p>
    <w:p>
      <w:pPr>
        <w:pStyle w:val="normal1"/>
        <w:widowControl w:val="false"/>
        <w:tabs>
          <w:tab w:val="clear" w:pos="720"/>
          <w:tab w:val="left" w:pos="496" w:leader="none"/>
        </w:tabs>
        <w:spacing w:lineRule="auto" w:line="360" w:before="256" w:after="0"/>
        <w:ind w:hanging="0" w:start="600" w:end="57"/>
        <w:jc w:val="both"/>
        <w:rPr>
          <w:rFonts w:ascii="Garamond" w:hAnsi="Garamond" w:eastAsia="Garamond" w:cs="Garamond"/>
        </w:rPr>
      </w:pPr>
      <w:r>
        <w:rPr>
          <w:rFonts w:eastAsia="Garamond" w:cs="Garamond" w:ascii="Garamond" w:hAnsi="Garamond"/>
          <w:b w:val="false"/>
          <w:bCs w:val="false"/>
        </w:rPr>
        <w:t>4.1 - La Struttura prende atto ed accetta, dalla data di sottoscrizione del presente atto e fino al 31.12.2026 il budget assegnato quale quello previsto all’articolo 3  Il budget rappresenta il valore lordo della produzione.</w:t>
      </w:r>
    </w:p>
    <w:p>
      <w:pPr>
        <w:pStyle w:val="normal1"/>
        <w:widowControl w:val="false"/>
        <w:spacing w:lineRule="auto" w:line="360" w:before="119" w:after="0"/>
        <w:ind w:hanging="0" w:start="454" w:end="0"/>
        <w:jc w:val="both"/>
        <w:rPr>
          <w:rFonts w:ascii="Garamond" w:hAnsi="Garamond" w:eastAsia="Garamond" w:cs="Garamond"/>
        </w:rPr>
      </w:pPr>
      <w:r>
        <w:rPr>
          <w:rFonts w:eastAsia="Garamond" w:cs="Garamond" w:ascii="Garamond" w:hAnsi="Garamond"/>
          <w:b w:val="false"/>
          <w:bCs w:val="false"/>
        </w:rPr>
        <w:t>4.2- La Struttura concorda che non vanterà alcun credito eccedente rispetto ai volumi di riferimento specificati .</w:t>
      </w:r>
    </w:p>
    <w:p>
      <w:pPr>
        <w:pStyle w:val="normal1"/>
        <w:widowControl w:val="false"/>
        <w:spacing w:lineRule="auto" w:line="360" w:before="119" w:after="0"/>
        <w:ind w:hanging="0" w:start="113" w:end="0"/>
        <w:jc w:val="both"/>
        <w:rPr>
          <w:rFonts w:ascii="Garamond" w:hAnsi="Garamond" w:eastAsia="Garamond" w:cs="Garamond"/>
          <w:b w:val="false"/>
          <w:bCs w:val="false"/>
        </w:rPr>
      </w:pPr>
      <w:r>
        <w:rPr>
          <w:rFonts w:eastAsia="Garamond" w:cs="Garamond" w:ascii="Garamond" w:hAnsi="Garamond"/>
          <w:b w:val="false"/>
          <w:bCs w:val="false"/>
        </w:rPr>
      </w:r>
    </w:p>
    <w:p>
      <w:pPr>
        <w:pStyle w:val="normal1"/>
        <w:widowControl w:val="false"/>
        <w:tabs>
          <w:tab w:val="clear" w:pos="720"/>
          <w:tab w:val="left" w:pos="512" w:leader="none"/>
        </w:tabs>
        <w:spacing w:lineRule="auto" w:line="360" w:before="120" w:after="0"/>
        <w:ind w:hanging="0" w:start="454" w:end="1644"/>
        <w:jc w:val="start"/>
        <w:rPr>
          <w:rFonts w:ascii="Garamond" w:hAnsi="Garamond" w:eastAsia="Garamond" w:cs="Garamond"/>
          <w:b/>
          <w:bCs/>
        </w:rPr>
      </w:pPr>
      <w:r>
        <w:rPr>
          <w:rFonts w:eastAsia="Garamond" w:cs="Garamond" w:ascii="Garamond" w:hAnsi="Garamond"/>
          <w:b/>
          <w:bCs/>
        </w:rPr>
        <w:t>ART 5 – TARIFFE</w:t>
      </w:r>
    </w:p>
    <w:p>
      <w:pPr>
        <w:pStyle w:val="normal1"/>
        <w:widowControl w:val="false"/>
        <w:tabs>
          <w:tab w:val="clear" w:pos="720"/>
          <w:tab w:val="left" w:pos="512" w:leader="none"/>
        </w:tabs>
        <w:spacing w:lineRule="auto" w:line="360" w:before="120" w:after="0"/>
        <w:ind w:hanging="0" w:start="454" w:end="57"/>
        <w:jc w:val="both"/>
        <w:rPr>
          <w:rFonts w:ascii="Garamond" w:hAnsi="Garamond" w:eastAsia="Garamond" w:cs="Garamond"/>
          <w:b w:val="false"/>
          <w:bCs w:val="false"/>
        </w:rPr>
      </w:pPr>
      <w:r>
        <w:rPr>
          <w:rFonts w:eastAsia="Garamond" w:cs="Garamond" w:ascii="Garamond" w:hAnsi="Garamond"/>
          <w:b w:val="false"/>
          <w:bCs w:val="false"/>
        </w:rPr>
        <w:t>5.1 - Le tariffe per le prestazioni di specialistica ambulatoriale sono quelle del tariffario nomenclatore regionale adottato dalla Regione Toscana con atto n. 1530 del 19.12.2024 e con decreto dirigenziale regionale n. 11966 del 04.05.2025 con il quale è stato adottato il catalogo regionale (catalogo versione 4.5), fatto salvi eventuali aggiornamenti che potrebbero intervenire nel corso delle annualità 2026-2028 a seguito di disposizioni di livello nazionale/regionale. A dette prestazioni si applica la normativa vigente in materia di partecipazione alla spesa sanitaria da parte dell’utente, comprensiva di ticket e di ogni altra compartecipazione alla spesa, integrazione prevista dalla vigenti disposizioni nazionali e regionali.</w:t>
      </w:r>
    </w:p>
    <w:p>
      <w:pPr>
        <w:pStyle w:val="normal1"/>
        <w:widowControl w:val="false"/>
        <w:tabs>
          <w:tab w:val="clear" w:pos="720"/>
          <w:tab w:val="left" w:pos="512" w:leader="none"/>
        </w:tabs>
        <w:spacing w:lineRule="auto" w:line="360" w:before="120" w:after="0"/>
        <w:ind w:hanging="0" w:start="113" w:end="57"/>
        <w:jc w:val="both"/>
        <w:rPr>
          <w:rFonts w:ascii="Garamond" w:hAnsi="Garamond" w:eastAsia="Garamond" w:cs="Garamond"/>
          <w:b w:val="false"/>
          <w:bCs w:val="false"/>
        </w:rPr>
      </w:pPr>
      <w:r>
        <w:rPr>
          <w:rFonts w:eastAsia="Garamond" w:cs="Garamond" w:ascii="Garamond" w:hAnsi="Garamond"/>
          <w:b w:val="false"/>
          <w:bCs w:val="false"/>
        </w:rPr>
      </w:r>
    </w:p>
    <w:p>
      <w:pPr>
        <w:pStyle w:val="normal1"/>
        <w:widowControl w:val="false"/>
        <w:tabs>
          <w:tab w:val="clear" w:pos="720"/>
          <w:tab w:val="left" w:pos="512" w:leader="none"/>
        </w:tabs>
        <w:spacing w:lineRule="auto" w:line="360" w:before="120" w:after="0"/>
        <w:ind w:hanging="0" w:start="454" w:end="0"/>
        <w:jc w:val="both"/>
        <w:rPr>
          <w:rFonts w:ascii="Garamond" w:hAnsi="Garamond" w:eastAsia="Garamond" w:cs="Garamond"/>
          <w:b/>
          <w:bCs/>
        </w:rPr>
      </w:pPr>
      <w:r>
        <w:rPr>
          <w:rFonts w:eastAsia="Garamond" w:cs="Garamond" w:ascii="Garamond" w:hAnsi="Garamond"/>
          <w:b/>
          <w:bCs/>
          <w:strike w:val="false"/>
          <w:dstrike w:val="false"/>
        </w:rPr>
        <w:t xml:space="preserve">ART. </w:t>
      </w:r>
      <w:r>
        <w:rPr>
          <w:rFonts w:eastAsia="Garamond" w:cs="Garamond" w:ascii="Garamond" w:hAnsi="Garamond"/>
          <w:b/>
          <w:bCs/>
          <w:i w:val="false"/>
          <w:iCs w:val="false"/>
          <w:strike w:val="false"/>
          <w:dstrike w:val="false"/>
          <w:sz w:val="25"/>
          <w:szCs w:val="25"/>
        </w:rPr>
        <w:t>6</w:t>
      </w:r>
      <w:r>
        <w:rPr>
          <w:rFonts w:eastAsia="Garamond" w:cs="Garamond" w:ascii="Garamond" w:hAnsi="Garamond"/>
          <w:b/>
          <w:bCs/>
          <w:i/>
          <w:iCs/>
          <w:strike w:val="false"/>
          <w:dstrike w:val="false"/>
          <w:sz w:val="25"/>
          <w:szCs w:val="25"/>
        </w:rPr>
        <w:t xml:space="preserve"> </w:t>
      </w:r>
      <w:r>
        <w:rPr>
          <w:rFonts w:eastAsia="Garamond" w:cs="Garamond" w:ascii="Garamond" w:hAnsi="Garamond"/>
          <w:b/>
          <w:bCs/>
          <w:strike w:val="false"/>
          <w:dstrike w:val="false"/>
        </w:rPr>
        <w:t>– PROGRAMMAZIONE DELLE PRESTAZIONI E SUCCESSIVI ADEMPIMENTI</w:t>
      </w:r>
    </w:p>
    <w:p>
      <w:pPr>
        <w:pStyle w:val="Heading1"/>
        <w:widowControl w:val="false"/>
        <w:spacing w:lineRule="auto" w:line="360" w:before="233" w:after="114"/>
        <w:ind w:hanging="0" w:start="426" w:end="160"/>
        <w:jc w:val="both"/>
        <w:rPr>
          <w:rFonts w:ascii="Garamond" w:hAnsi="Garamond" w:eastAsia="Garamond" w:cs="Garamond"/>
          <w:b w:val="false"/>
          <w:bCs w:val="false"/>
        </w:rPr>
      </w:pPr>
      <w:r>
        <w:rPr>
          <w:b w:val="false"/>
          <w:bCs w:val="false"/>
        </w:rPr>
        <w:t xml:space="preserve">6.1 - La Struttura contraente si impegna a garantire le prestazioni di cui al presente accordo, nel rispetto delle prenotazioni gestite dal CUP Aziendale. </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6.2 - La Struttura, collegata alla rete aziendale attraverso VPN, registra sul CUP di secondo livello tutto ciò che riguarda la posizione dell’utente in particolare registra l’avvenuta erogazione e l’eventuale pagamento della compartecipazione alla spesa sanitaria.</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6.3 - La Struttura si impegna a partecipare a eventuali incontri di aggiornamento su procedura CUP e su modalità di prenotazione ed accettazione/erogazione, verifica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6.4 - L’accesso alla rete informatica dell’Azienda, nonché i relativi costi, sono completamente a carico dell’Istituto accreditato convenzionato.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6.5 - Le Strutture assumono la responsabilità dell’assicurazione delle prestazioni programmate, pena il riconoscimento di penali. La Struttura deve comunicare alla segreteria CUP con almeno 60 giorni di anticipo i giorni dedicati alla manutenzione delle apparecchiature. Ogni altro periodo di sospensione o chiusura che si renda necessario per qualsiasi motivazione improvvisa, deve essere immediatamente comunicato all’ufficio dell’Azienda che gestisce la segreteria CUP.</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6.6 - La Struttura si impegna a riprogrammare nel più breve tempo possibile l’offerta sospesa, mantenendo prioritariamente il giorno della settimana e l’orario precedentemente programmato.</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widowControl w:val="false"/>
        <w:numPr>
          <w:ilvl w:val="0"/>
          <w:numId w:val="3"/>
        </w:numPr>
        <w:spacing w:lineRule="auto" w:line="240" w:before="110" w:after="0"/>
        <w:ind w:hanging="0" w:start="455" w:end="0"/>
        <w:jc w:val="both"/>
        <w:rPr>
          <w:rFonts w:ascii="Garamond" w:hAnsi="Garamond" w:eastAsia="Garamond" w:cs="Garamond"/>
          <w:strike w:val="false"/>
          <w:dstrike w:val="false"/>
          <w:color w:val="000000"/>
        </w:rPr>
      </w:pPr>
      <w:r>
        <w:rPr>
          <w:strike w:val="false"/>
          <w:dstrike w:val="false"/>
          <w:color w:val="000000"/>
        </w:rPr>
        <w:t>ART 7 - GESTIONE DELLA POSIZIONE ECONOMICA DELL’UTENTE NEI CONFRONTI DEL TICKET</w:t>
      </w:r>
    </w:p>
    <w:p>
      <w:pPr>
        <w:pStyle w:val="normal1"/>
        <w:keepNext w:val="false"/>
        <w:keepLines w:val="false"/>
        <w:pageBreakBefore w:val="false"/>
        <w:widowControl w:val="false"/>
        <w:pBdr/>
        <w:shd w:val="clear" w:fill="auto"/>
        <w:spacing w:lineRule="auto" w:line="360" w:before="233" w:after="114"/>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7.1 - Alle tariffe per le prestazioni di specialistica ambulatoriale in argomento si applica la normativa vigente in materia di partecipazione alla spesa sanitaria da parte dell’utente, in attuazione della Deliberazione Giunta regionale 24 maggio 2004, n. 493., recante “Livelli essenziali di assistenza - Indirizzi alle Aziende Sanitarie sulla modalità di partecipazione alla spesa” e successive modifiche ed integrazioni. Le Strutture private accreditate dovranno garantire e/o verificare sul CUP di secondo livello la corretta riscossione del ticket.</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7.2 - L’utente ha la facoltà di pagare il ticket relativo alle prestazioni erogate dalla struttura in qualsiasi modalità prevista dall’Azienda (tabaccherie, casse aziendali, farmacie ecc) o direttamente presso la struttura privata abilitata alla riscossione che effettua la prestazione.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7.3 - Le strutture che effettueranno riscossione di ticket devono impegnarsi a consentire il pagamento attraverso il sistema PAGO PA. L’Azienda si rende disponibile, su richiesta, a concedere in uso i terminali POS affinché la struttura possa procedere alla riscossione direttamente sui conti dell’Azienda Usl stessa.</w:t>
      </w:r>
    </w:p>
    <w:p>
      <w:pPr>
        <w:pStyle w:val="normal1"/>
        <w:keepNext w:val="false"/>
        <w:keepLines w:val="false"/>
        <w:pageBreakBefore w:val="false"/>
        <w:widowControl w:val="false"/>
        <w:pBdr/>
        <w:shd w:val="clear" w:fill="auto"/>
        <w:spacing w:lineRule="auto" w:line="360" w:before="119"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7.4 - Si precisa che, ove la struttura sia individuata quale Sportello di riscossione del ticket:</w:t>
      </w:r>
    </w:p>
    <w:p>
      <w:pPr>
        <w:pStyle w:val="normal1"/>
        <w:keepNext w:val="false"/>
        <w:keepLines w:val="false"/>
        <w:pageBreakBefore w:val="false"/>
        <w:widowControl w:val="false"/>
        <w:pBdr/>
        <w:shd w:val="clear" w:fill="auto"/>
        <w:spacing w:lineRule="auto" w:line="360" w:before="119"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struttura può riscuotere il ticket solo relativo alle prestazioni che effettua. Non può pertanto riscuotere il ticket per prestazioni erogate in altre strutture private accreditate o in strutture pubbliche;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struttura che riscuote il ticket dall’utente per la prestazione (solo per prestazioni erogate dalla struttura stessa) emette direttamente una ricevuta a nome della struttura stessa (e dunque non in nome e per conto dell’Azienda USL), utilizzando PAGO PA in quanto esercente di un pubblico servizio. In alternativa, come detto sopra, la struttura può decidere di utilizzare i POS dell’Azienda Usl e di riscuotere in nome e per conto dell’Azienda;</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caso di riscossione diretta del ticket, la struttura è tenuta a chiudere la posizione debitoria dell’utente sul software aziendale mediante utilizzo del codice IUV generato in sede di prenotazione. Qualora la struttura non provveda alla riscossione del ticket dovrà ugualmente verificare l’avvenuto pagamento da parte dell’utente prima dell’erogazione della prestazione;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laddove sia dovuta, la compartecipazione alla spesa sanitaria, il versamento della stessa dovrà avvenire prima dell’erogazione della prestazione. Per il calcolo del ticket verrà considerata come data di riferimento per l’applicazione delle tariffe, la data di prescrizione medica;</w:t>
      </w:r>
    </w:p>
    <w:p>
      <w:pPr>
        <w:pStyle w:val="normal1"/>
        <w:keepNext w:val="false"/>
        <w:keepLines w:val="false"/>
        <w:pageBreakBefore w:val="false"/>
        <w:widowControl w:val="false"/>
        <w:pBdr/>
        <w:shd w:val="clear" w:fill="auto"/>
        <w:spacing w:lineRule="auto" w:line="360" w:before="119"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    •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Struttura rilascerà regolare ricevuta fiscale precisando che trattasi di prestazioni erogate in accordo con il S.S.N..</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7.5 - La Struttura si impegna a seguire le disposizioni impartite dall’Azienda a tale proposito e ad attuare eventuali diverse modalità di riscossione, versamento o fatturazione che potrebbero intervenire per disposizioni nazionali, regionali o aziendali.</w:t>
      </w:r>
    </w:p>
    <w:p>
      <w:pPr>
        <w:pStyle w:val="normal1"/>
        <w:keepNext w:val="false"/>
        <w:keepLines w:val="false"/>
        <w:pageBreakBefore w:val="false"/>
        <w:widowControl w:val="false"/>
        <w:pBdr/>
        <w:shd w:val="clear" w:fill="auto"/>
        <w:spacing w:lineRule="auto" w:line="360" w:before="11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8 – REGISTRAZIONE DELLE PRESTAZIONI</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8.1 - Le prestazioni erogate dovranno essere registrate correttamente, con correlazione alle specifiche prenotazioni, ciascuna nello specifico giorno ed ora di esecuzione. Effettuata la prestazione, sarà cura della Struttura acquisire dall’utente l’attestazione dell’effettiva fruizione.</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8.2 – La Struttura assicura l’aggiornamento della lista dei soggetti prenotati con la conferma dell’effettiva erogazione delle relative prestazioni nel sistema  CUP aziendale di secondo livello.</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8.3 - La Struttura si impegna ad adempiere con diligenza e costanza al proprio debito informativo nei confronti dell’Azienda e della Regione Toscana, secondo le modalità stabilite dalla normativa nazionale e dalle disposizioni regionali.</w:t>
      </w:r>
    </w:p>
    <w:p>
      <w:pPr>
        <w:pStyle w:val="normal1"/>
        <w:keepNext w:val="false"/>
        <w:keepLines w:val="false"/>
        <w:pageBreakBefore w:val="false"/>
        <w:widowControl w:val="false"/>
        <w:pBdr/>
        <w:shd w:val="clear" w:fill="auto"/>
        <w:spacing w:lineRule="auto" w:line="360" w:before="11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360" w:before="119"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ART. 9 - MODALITÀ di TRASMISSIONE dei FLUSSI INFORMATICI E FASCICOLO ELETTRONICO</w:t>
      </w:r>
    </w:p>
    <w:p>
      <w:pPr>
        <w:pStyle w:val="normal1"/>
        <w:keepNext w:val="false"/>
        <w:keepLines w:val="false"/>
        <w:pageBreakBefore w:val="false"/>
        <w:widowControl w:val="false"/>
        <w:pBdr/>
        <w:shd w:val="clear" w:fill="auto"/>
        <w:tabs>
          <w:tab w:val="clear" w:pos="720"/>
          <w:tab w:val="left" w:pos="949" w:leader="none"/>
        </w:tabs>
        <w:spacing w:lineRule="auto" w:line="360" w:before="73"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9.1 - I tracciati SPA (o loro eventuale evoluzione: flusso RFC231) devono contenere, oltre alle informazioni richieste dalla normativa regionale, i campi di interesse aziendale.</w:t>
      </w:r>
    </w:p>
    <w:p>
      <w:pPr>
        <w:pStyle w:val="normal1"/>
        <w:keepNext w:val="false"/>
        <w:keepLines w:val="false"/>
        <w:pageBreakBefore w:val="false"/>
        <w:widowControl w:val="false"/>
        <w:pBdr/>
        <w:shd w:val="clear" w:fill="auto"/>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9.2 - La Struttura si impegna all’alimentazione del fascicolo elettronico secondo le indicazioni fornite dall’Azienda.</w:t>
      </w:r>
    </w:p>
    <w:p>
      <w:pPr>
        <w:pStyle w:val="normal1"/>
        <w:keepNext w:val="false"/>
        <w:keepLines w:val="false"/>
        <w:pageBreakBefore w:val="false"/>
        <w:widowControl w:val="false"/>
        <w:pBdr/>
        <w:shd w:val="clear" w:fill="auto"/>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9.3 - Per le prestazioni di specialistica ambulatoriale erogate in favore di cittadini residenti nell’ambito territoriale delle Regione Toscana, con l’inserimento della Struttura nel sistema CUP aziendale, la generazione dei flussi regionali avviene tramite il sistema informatico dell'Azienda. La Struttura è tenuta a registrare sulla procedura CUP aziendale l'avvenuta esecuzione delle prestazioni prescritte e prenotate secondo i tracciati record previsti dalla Regione Toscana per assolvere al debito informativo ministeriale sulla specialistica ambulatoriale., evidenziando eventuali difformità tra il prenotato e l'eseguito, in modo da consentire la corretta compilazione del flusso informativo SPA (o loro eventuale evoluzione: flusso RFC231), secondo il tracciato record previsto dalle determinazioni Regionali.</w:t>
      </w:r>
    </w:p>
    <w:p>
      <w:pPr>
        <w:pStyle w:val="normal1"/>
        <w:keepNext w:val="false"/>
        <w:keepLines w:val="false"/>
        <w:pageBreakBefore w:val="false"/>
        <w:widowControl w:val="false"/>
        <w:pBdr/>
        <w:shd w:val="clear" w:fill="auto"/>
        <w:spacing w:lineRule="auto" w:line="360" w:before="12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9.4 - ESTAR, estrae i flussi informativi dell’attività resa dalla Struttura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 xml:space="preserve">al massimo entro il quinto giorno successivo alla chiusura del mese di riferimento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modo da consentire all’Azienda il rispetto delle scadenze contenute nelle norme regionali o nazionali in materia. Qualora l’Azienda richieda integrazioni al tracciato record in base al modificato debito informativo nei confronti della Regione Toscana, ne da comunicazione formale alla Struttura e quest’ultima si impegna ad adeguarlo entro 60 giorni dal ricevimento di tale comunicazione. In difetto, l’Azienda sospenderà la liquidazione delle competenze.</w:t>
      </w:r>
    </w:p>
    <w:p>
      <w:pPr>
        <w:pStyle w:val="normal1"/>
        <w:keepNext w:val="false"/>
        <w:keepLines w:val="false"/>
        <w:pageBreakBefore w:val="false"/>
        <w:widowControl w:val="false"/>
        <w:pBdr/>
        <w:shd w:val="clear" w:fill="auto"/>
        <w:tabs>
          <w:tab w:val="clear" w:pos="720"/>
          <w:tab w:val="left" w:pos="935" w:leader="none"/>
        </w:tabs>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9.5 - La Regione Toscana, sulla base delle informazioni trasmesse da ESTAR, rileva eventuali errori sul tracciato oltre ad effettuare il calcolo della mobilità sanitaria attiva (compensazioni), per le prestazioni rese dalla Struttura ad utenti residenti in altre Aziende sanitarie regionali ed extra regionali, inserite nei flussi SPA (o loro eventuale evoluzione: flusso RFC231), qualora siano stati presi in carico utenti provenienti da altre aziende sanitarie regionali ed extra-regionali.</w:t>
      </w:r>
    </w:p>
    <w:p>
      <w:pPr>
        <w:pStyle w:val="normal1"/>
        <w:keepNext w:val="false"/>
        <w:keepLines w:val="false"/>
        <w:pageBreakBefore w:val="false"/>
        <w:widowControl w:val="false"/>
        <w:pBdr/>
        <w:shd w:val="clear" w:fill="auto"/>
        <w:tabs>
          <w:tab w:val="clear" w:pos="720"/>
          <w:tab w:val="left" w:pos="927" w:leader="none"/>
        </w:tabs>
        <w:spacing w:lineRule="auto" w:line="360" w:before="119"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9.6 - La Struttura è tenuta a fornire i dati di struttura dei presidi ambulatoriali, delle relative apparecchiature di diagnosi e cura, nonché i dati di attività ed i relativi tempi di attesa, dati di struttura e di attività dei presidi ospedalieri, con le modalità richieste da ESTAR, secondo i contenuti, nel rispetto delle scadenze e con le modalità di trasmissione previste dalle vigenti disposizioni nazionali e regionali, tenendo conto delle eventuali modifiche e/o integrazioni normative che dovessero intervenire nel periodo di validità del presente contratto.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9.7 - La Struttura è tenuta alla corretta compilazione, secondo la tempistica prevista, del conto annuale del personale delle strutture private convenzionate in favore della Direzione generale della digitalizzazione, del sistema informativo sanitario e della statistica del Ministero della Salute. In caso di inadempimento l’Azienda è autorizzata a sospendere i pagamenti dalla data del termine per l’adempimento.</w:t>
      </w:r>
    </w:p>
    <w:p>
      <w:pPr>
        <w:pStyle w:val="normal1"/>
        <w:keepNext w:val="false"/>
        <w:keepLines w:val="false"/>
        <w:pageBreakBefore w:val="false"/>
        <w:widowControl w:val="false"/>
        <w:pBdr/>
        <w:shd w:val="clear" w:fill="auto"/>
        <w:tabs>
          <w:tab w:val="clear" w:pos="720"/>
          <w:tab w:val="left" w:pos="957" w:leader="none"/>
        </w:tabs>
        <w:spacing w:lineRule="auto" w:line="360" w:before="121"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240" w:before="120" w:after="0"/>
        <w:ind w:hanging="0" w:start="455" w:end="0"/>
        <w:jc w:val="both"/>
        <w:rPr>
          <w:rFonts w:ascii="Garamond" w:hAnsi="Garamond" w:eastAsia="Garamond" w:cs="Garamond"/>
        </w:rPr>
      </w:pPr>
      <w:r>
        <w:rPr/>
        <w:t>ART. 10 - MODALITA’ RICHIESTA PAGAMENTI</w:t>
      </w:r>
    </w:p>
    <w:p>
      <w:pPr>
        <w:pStyle w:val="Heading1"/>
        <w:numPr>
          <w:ilvl w:val="0"/>
          <w:numId w:val="3"/>
        </w:numPr>
        <w:spacing w:lineRule="auto" w:line="360" w:before="177" w:after="57"/>
        <w:ind w:hanging="0" w:start="455" w:end="0"/>
        <w:jc w:val="both"/>
        <w:rPr>
          <w:rFonts w:ascii="Garamond" w:hAnsi="Garamond" w:eastAsia="Garamond" w:cs="Garamond"/>
        </w:rPr>
      </w:pPr>
      <w:r>
        <w:rPr>
          <w:b w:val="false"/>
          <w:bCs w:val="false"/>
        </w:rPr>
        <w:t>10.1 - Ai sensi di quanto previsto dall’art. 6 comma 6 del Decreto MEF n. 55 del 3/4/2013, così come modificato dall’art. 25 del D. L. n. 66 del 24/4/2014 (convertito nella L. n. 89 del 23/6/2014) la Struttura provvederà alla fatturazione elettronica dell’attività tramite il Sistema di Interscambio (SdI), previa acquisizione dell’ordine elettronico su piattaforma NSO.</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10.2 - Per il presente contratto viene acquisito il CIG ai soli fini della tracciabilità. La struttura dovrà riportare tale CIG su ogni fattura emessa per prestazioni erogate in esecuzione del presente contratto.</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10.3 - Entro la fine del mese successivo a quello di riferimento, l’Azienda procede ad emettere l’ ordinativo NSO verso la struttura tenendo conto dei dati del flusso SPA (o loro eventuale evoluzione: flusso RFC231). Nel computo dell’ordine NSO si terrà di conto dell’ammontare del ticket eventualmente riscosso  e </w:t>
      </w:r>
      <w:r>
        <w:rPr>
          <w:rFonts w:eastAsia="Garamond" w:cs="Garamond" w:ascii="Garamond" w:hAnsi="Garamond"/>
          <w:b w:val="false"/>
          <w:bCs w:val="false"/>
          <w:i w:val="false"/>
          <w:iCs w:val="false"/>
          <w:caps w:val="false"/>
          <w:smallCaps w:val="false"/>
          <w:strike w:val="false"/>
          <w:dstrike w:val="false"/>
          <w:color w:val="000000"/>
          <w:position w:val="0"/>
          <w:sz w:val="24"/>
          <w:szCs w:val="24"/>
          <w:u w:val="single"/>
          <w:shd w:fill="auto" w:val="clear"/>
          <w:vertAlign w:val="baseline"/>
        </w:rPr>
        <w:t>comunicato dalla struttura mensilmente all’ufficio che autorizza la liquidazione</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10.4 - Ogni variazione alla modalità sopra descritta (come ad esempio prendere a base di calcolo l’estrazione dei dati dall’applicativo aziendale CUP Accettatore), dovrà essere motivata da una serie di  eventuali problematiche di carattere tecnico o comunque questioni correlate alla latenza temporale del flusso informativo.</w:t>
      </w:r>
    </w:p>
    <w:p>
      <w:pPr>
        <w:pStyle w:val="normal1"/>
        <w:keepNext w:val="false"/>
        <w:keepLines w:val="false"/>
        <w:pageBreakBefore w:val="false"/>
        <w:widowControl w:val="false"/>
        <w:pBdr/>
        <w:shd w:val="clear" w:fill="auto"/>
        <w:spacing w:lineRule="auto" w:line="360" w:before="115"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10.5 - La Struttura si impegna inoltre a seguire tutte le indicazioni comunicate dalla ASL su tale materia.</w:t>
      </w:r>
    </w:p>
    <w:p>
      <w:pPr>
        <w:pStyle w:val="normal1"/>
        <w:keepNext w:val="false"/>
        <w:keepLines w:val="false"/>
        <w:pageBreakBefore w:val="false"/>
        <w:widowControl w:val="false"/>
        <w:pBdr/>
        <w:shd w:val="clear" w:fill="auto"/>
        <w:spacing w:lineRule="auto" w:line="360" w:before="11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10.6 - La Struttura si impegna ad inviare, solo su richiesta dell’Azienda, le impegnative cartacee e i relativi riepiloghi relativi ad un mese di attività per lo svolgimento di controlli a campione. I file inoltrati dovranno essere protetti con modalità idonee ad impedire l’illecita o fortuita acquisizione delle informazioni trasmesse. A tal fine il file è zippato e dotato di password per l’apertura da concordare con la struttura liquidante. Il riepilogo dovrà contenere le seguenti informazioni</w:t>
      </w:r>
    </w:p>
    <w:p>
      <w:pPr>
        <w:pStyle w:val="normal1"/>
        <w:keepNext w:val="false"/>
        <w:keepLines w:val="false"/>
        <w:pageBreakBefore w:val="false"/>
        <w:widowControl w:val="false"/>
        <w:numPr>
          <w:ilvl w:val="0"/>
          <w:numId w:val="6"/>
        </w:numPr>
        <w:pBdr/>
        <w:shd w:val="clear" w:fill="auto"/>
        <w:tabs>
          <w:tab w:val="clear" w:pos="720"/>
          <w:tab w:val="left" w:pos="588" w:leader="none"/>
        </w:tabs>
        <w:spacing w:lineRule="auto" w:line="360" w:before="57" w:after="0"/>
        <w:ind w:hanging="360" w:start="1146"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cognome, nome  dell'utente,</w:t>
      </w:r>
    </w:p>
    <w:p>
      <w:pPr>
        <w:pStyle w:val="normal1"/>
        <w:keepNext w:val="false"/>
        <w:keepLines w:val="false"/>
        <w:pageBreakBefore w:val="false"/>
        <w:widowControl w:val="false"/>
        <w:numPr>
          <w:ilvl w:val="0"/>
          <w:numId w:val="8"/>
        </w:numPr>
        <w:pBdr/>
        <w:shd w:val="clear" w:fill="auto"/>
        <w:tabs>
          <w:tab w:val="clear" w:pos="720"/>
          <w:tab w:val="left" w:pos="588" w:leader="none"/>
        </w:tabs>
        <w:spacing w:lineRule="auto" w:line="24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codice fiscale dell'utente rilevato dalla tessera sanitaria,</w:t>
      </w:r>
    </w:p>
    <w:p>
      <w:pPr>
        <w:pStyle w:val="normal1"/>
        <w:keepNext w:val="false"/>
        <w:keepLines w:val="false"/>
        <w:pageBreakBefore w:val="false"/>
        <w:widowControl w:val="false"/>
        <w:numPr>
          <w:ilvl w:val="0"/>
          <w:numId w:val="8"/>
        </w:numPr>
        <w:pBdr/>
        <w:shd w:val="clear" w:fill="auto"/>
        <w:tabs>
          <w:tab w:val="clear" w:pos="720"/>
          <w:tab w:val="left" w:pos="588" w:leader="none"/>
        </w:tabs>
        <w:spacing w:lineRule="auto" w:line="240" w:before="136"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tipologia di prestazione erogata,</w:t>
      </w:r>
    </w:p>
    <w:p>
      <w:pPr>
        <w:pStyle w:val="normal1"/>
        <w:keepNext w:val="false"/>
        <w:keepLines w:val="false"/>
        <w:pageBreakBefore w:val="false"/>
        <w:widowControl w:val="false"/>
        <w:numPr>
          <w:ilvl w:val="0"/>
          <w:numId w:val="8"/>
        </w:numPr>
        <w:pBdr/>
        <w:shd w:val="clear" w:fill="auto"/>
        <w:spacing w:lineRule="auto" w:line="360" w:before="114"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valore lordo di produzione da NTR,</w:t>
      </w:r>
    </w:p>
    <w:p>
      <w:pPr>
        <w:pStyle w:val="normal1"/>
        <w:keepNext w:val="false"/>
        <w:keepLines w:val="false"/>
        <w:pageBreakBefore w:val="false"/>
        <w:widowControl w:val="false"/>
        <w:numPr>
          <w:ilvl w:val="0"/>
          <w:numId w:val="8"/>
        </w:numPr>
        <w:pBdr/>
        <w:shd w:val="clear" w:fill="auto"/>
        <w:spacing w:lineRule="auto" w:line="36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applicazione sconto da manifestazione,</w:t>
      </w:r>
    </w:p>
    <w:p>
      <w:pPr>
        <w:pStyle w:val="normal1"/>
        <w:keepNext w:val="false"/>
        <w:keepLines w:val="false"/>
        <w:pageBreakBefore w:val="false"/>
        <w:widowControl w:val="false"/>
        <w:numPr>
          <w:ilvl w:val="0"/>
          <w:numId w:val="1"/>
        </w:numPr>
        <w:pBdr/>
        <w:shd w:val="clear" w:fill="auto"/>
        <w:spacing w:lineRule="auto" w:line="360" w:before="0" w:after="0"/>
        <w:ind w:hanging="360" w:start="1146"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il ticket eventualmente riscosso dall’utente.</w:t>
      </w:r>
    </w:p>
    <w:p>
      <w:pPr>
        <w:pStyle w:val="normal1"/>
        <w:keepNext w:val="false"/>
        <w:keepLines w:val="false"/>
        <w:pageBreakBefore w:val="false"/>
        <w:widowControl w:val="false"/>
        <w:pBdr/>
        <w:shd w:val="clear" w:fill="auto"/>
        <w:spacing w:lineRule="auto" w:line="360" w:before="11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numPr>
          <w:ilvl w:val="0"/>
          <w:numId w:val="3"/>
        </w:numPr>
        <w:spacing w:lineRule="auto" w:line="240" w:before="58" w:after="0"/>
        <w:ind w:hanging="0" w:start="455" w:end="0"/>
        <w:jc w:val="both"/>
        <w:rPr>
          <w:rFonts w:ascii="Garamond" w:hAnsi="Garamond" w:eastAsia="Garamond" w:cs="Garamond"/>
        </w:rPr>
      </w:pPr>
      <w:r>
        <w:rPr/>
        <w:t>ART. 11 - MODALITA' DI PAGAMENTO</w:t>
      </w:r>
    </w:p>
    <w:p>
      <w:pPr>
        <w:pStyle w:val="normal1"/>
        <w:keepNext w:val="false"/>
        <w:keepLines w:val="false"/>
        <w:pageBreakBefore w:val="false"/>
        <w:widowControl w:val="false"/>
        <w:pBdr/>
        <w:shd w:val="clear" w:fill="auto"/>
        <w:tabs>
          <w:tab w:val="clear" w:pos="720"/>
          <w:tab w:val="left" w:pos="947" w:leader="none"/>
        </w:tabs>
        <w:spacing w:lineRule="auto" w:line="360" w:before="171" w:after="171"/>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11.1 - L'Azienda provvederà, purché sia stato rispettato dalla Struttura quanto previsto dai precedenti articoli, a pagare le competenze regolarmente fatturate dalla Struttura entro 60 giorni dalla data di registrazione in contabilità  aziendale delle fatture elettroniche. In caso di ritardato pagamento saranno applicati gli interessi di cui al D. Lgs. N. 231 del 2002.</w:t>
      </w:r>
    </w:p>
    <w:p>
      <w:pPr>
        <w:pStyle w:val="normal1"/>
        <w:keepNext w:val="false"/>
        <w:keepLines w:val="false"/>
        <w:pageBreakBefore w:val="false"/>
        <w:widowControl w:val="false"/>
        <w:pBdr/>
        <w:shd w:val="clear" w:fill="auto"/>
        <w:tabs>
          <w:tab w:val="clear" w:pos="720"/>
          <w:tab w:val="left" w:pos="947" w:leader="none"/>
        </w:tabs>
        <w:spacing w:lineRule="auto" w:line="360" w:before="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11.2 - I termini di decorrenza sono interrotti in caso di contestazioni a mezzo PEC. </w:t>
      </w:r>
    </w:p>
    <w:p>
      <w:pPr>
        <w:pStyle w:val="normal1"/>
        <w:keepNext w:val="false"/>
        <w:keepLines w:val="false"/>
        <w:pageBreakBefore w:val="false"/>
        <w:widowControl w:val="false"/>
        <w:pBdr/>
        <w:shd w:val="clear" w:fill="auto"/>
        <w:tabs>
          <w:tab w:val="clear" w:pos="720"/>
          <w:tab w:val="left" w:pos="939" w:leader="none"/>
        </w:tabs>
        <w:spacing w:lineRule="auto" w:line="360" w:before="228" w:after="228"/>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11.3 - Ove la struttura dovesse fatturare importi differenti da quelli ordinati tramite NSO, cioè nel caso in cui non avesse corretto i disallineamenti tra i dati contabilizzati ed i dati contenuti nei flussi informativi regionali la struttura dovrà comunque provvedere a correggere gli errori imputabili alla struttura stessa (ad esempio codici fiscali mancanti o errati, numero di impegnativa mancante o errato o fittizio). La Struttura sarà in ogni caso tenuta ad emettere nota di credito per incoerenze dovute a propri errori. Non sono imputabili alla struttura errori dovuti al mal funzionamento dei gestionali aziendali purché correttamente alimentati.</w:t>
      </w:r>
    </w:p>
    <w:p>
      <w:pPr>
        <w:pStyle w:val="normal1"/>
        <w:keepNext w:val="false"/>
        <w:keepLines w:val="false"/>
        <w:pageBreakBefore w:val="false"/>
        <w:widowControl w:val="false"/>
        <w:pBdr/>
        <w:shd w:val="clear" w:fill="auto"/>
        <w:tabs>
          <w:tab w:val="clear" w:pos="720"/>
          <w:tab w:val="left" w:pos="935" w:leader="none"/>
        </w:tabs>
        <w:spacing w:lineRule="auto" w:line="360" w:before="120" w:after="0"/>
        <w:ind w:hanging="0" w:start="882"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highlight w:val="yellow"/>
          <w:u w:val="none"/>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highlight w:val="yellow"/>
          <w:u w:val="none"/>
          <w:vertAlign w:val="baseline"/>
        </w:rPr>
      </w:r>
    </w:p>
    <w:p>
      <w:pPr>
        <w:pStyle w:val="Heading1"/>
        <w:widowControl w:val="false"/>
        <w:numPr>
          <w:ilvl w:val="0"/>
          <w:numId w:val="3"/>
        </w:numPr>
        <w:spacing w:lineRule="auto" w:line="240" w:before="58" w:after="0"/>
        <w:ind w:hanging="0" w:start="455" w:end="0"/>
        <w:jc w:val="both"/>
        <w:rPr>
          <w:rFonts w:ascii="Garamond" w:hAnsi="Garamond" w:eastAsia="Garamond" w:cs="Garamond"/>
          <w:color w:val="000000"/>
        </w:rPr>
      </w:pPr>
      <w:r>
        <w:rPr>
          <w:color w:val="000000"/>
        </w:rPr>
        <w:t>ART. 12 - RAPPORTI CON IL CITTADINO</w:t>
      </w:r>
    </w:p>
    <w:p>
      <w:pPr>
        <w:pStyle w:val="normal1"/>
        <w:keepNext w:val="false"/>
        <w:keepLines w:val="false"/>
        <w:pageBreakBefore w:val="false"/>
        <w:widowControl w:val="false"/>
        <w:pBdr/>
        <w:shd w:val="clear" w:fill="auto"/>
        <w:tabs>
          <w:tab w:val="clear" w:pos="720"/>
          <w:tab w:val="left" w:pos="801" w:leader="none"/>
        </w:tabs>
        <w:spacing w:lineRule="auto" w:line="360" w:before="256"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12.1 - La Struttura si impegna a garantire la corretta informazione al cittadino sulle procedure di accesso, sulle prestazioni erogabili a totale carico del servizio sanitario.</w:t>
      </w:r>
    </w:p>
    <w:p>
      <w:pPr>
        <w:pStyle w:val="normal1"/>
        <w:keepNext w:val="false"/>
        <w:keepLines w:val="false"/>
        <w:pageBreakBefore w:val="false"/>
        <w:widowControl w:val="false"/>
        <w:pBdr/>
        <w:shd w:val="clear" w:fill="auto"/>
        <w:tabs>
          <w:tab w:val="clear" w:pos="720"/>
          <w:tab w:val="left" w:pos="804" w:leader="none"/>
        </w:tabs>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12.2 - I rapporti di cui sopra devono essere condotti nel pieno rispetto della legge sulla trasparenza (D. Lgs. n. 33 del 14 Marzo 2013 e ss.mm.ii.), sul procedimento amministrativo (Legge n. 241 del 7/8/1990 e ss.mm.ii.) e della legge sulla protezione dei dati personali (Regolamento UE 2016/679 (RGPD) e del D.Lgs. n. 196/2003 “Codice in materia di protezione di dati personali” - Codice) e della normativa sulla privacy provvedendo ad acquisire da parte dell’utente consenso scritto al trattamento dei dati personali e sensibili. E’ fatto divieto alla Struttura di utilizzare le informazioni assunte nell’espletamento delle attività per fini diversi da quelli inerenti l’attività stessa.</w:t>
      </w:r>
    </w:p>
    <w:p>
      <w:pPr>
        <w:pStyle w:val="normal1"/>
        <w:keepNext w:val="false"/>
        <w:keepLines w:val="false"/>
        <w:pageBreakBefore w:val="false"/>
        <w:widowControl w:val="false"/>
        <w:pBdr/>
        <w:shd w:val="clear" w:fill="auto"/>
        <w:spacing w:lineRule="auto" w:line="276" w:before="177"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12.3 - La struttura sottoscrive specifico atto giuridico relativo al trattamento dei dati.</w:t>
      </w:r>
    </w:p>
    <w:p>
      <w:pPr>
        <w:pStyle w:val="normal1"/>
        <w:keepNext w:val="false"/>
        <w:keepLines w:val="false"/>
        <w:pageBreakBefore w:val="false"/>
        <w:widowControl w:val="false"/>
        <w:pBdr/>
        <w:shd w:val="clear" w:fill="auto"/>
        <w:spacing w:lineRule="auto" w:line="276" w:before="19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240" w:before="192" w:after="0"/>
        <w:ind w:hanging="0" w:start="455" w:end="0"/>
        <w:rPr>
          <w:rFonts w:ascii="Garamond" w:hAnsi="Garamond" w:eastAsia="Garamond" w:cs="Garamond"/>
        </w:rPr>
      </w:pPr>
      <w:r>
        <w:rPr/>
        <w:t>ART. 13 – CONTROLLI</w:t>
      </w:r>
    </w:p>
    <w:p>
      <w:pPr>
        <w:pStyle w:val="normal1"/>
        <w:keepNext w:val="false"/>
        <w:keepLines w:val="false"/>
        <w:pageBreakBefore w:val="false"/>
        <w:widowControl w:val="false"/>
        <w:pBdr/>
        <w:shd w:val="clear" w:fill="auto"/>
        <w:spacing w:lineRule="auto" w:line="360" w:before="25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13.1 - La Struttura contraente riconosce all’Azienda il diritto di procedere in qualsiasi momento a verifiche sulla qualità, quantità, efficacia e congruità delle prestazioni erogate, ed alla idoneità dei locali e delle apparecchiature in uso presso l’Istituto, ferma restando ogni altra competenza dell’Azienda in materia di Igiene delle strutture sanitarie e di Medicina del Lavoro.</w:t>
      </w:r>
    </w:p>
    <w:p>
      <w:pPr>
        <w:pStyle w:val="normal1"/>
        <w:keepNext w:val="false"/>
        <w:keepLines w:val="false"/>
        <w:pageBreakBefore w:val="false"/>
        <w:widowControl w:val="false"/>
        <w:pBdr/>
        <w:shd w:val="clear" w:fill="auto"/>
        <w:spacing w:lineRule="auto" w:line="276"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240" w:before="121" w:after="0"/>
        <w:ind w:hanging="0" w:start="455" w:end="0"/>
        <w:rPr>
          <w:rFonts w:ascii="Garamond" w:hAnsi="Garamond" w:eastAsia="Garamond" w:cs="Garamond"/>
        </w:rPr>
      </w:pPr>
      <w:r>
        <w:rPr/>
        <w:t>ART. 14 - INCOMPATIBILITA’/PANTOUFLAGE</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14.1 - La Struttura comunicherà via mail alla U.O.C. Privato Accreditato, Trasporti Sanitari e Riabilitazione, due volte nell’anno, l’elenco del personale che opera a qualsiasi titolo nella Struttura con rapporto di lavoro subordinato o di altra forma legale di idonea collaborazione. In tale elenco verrà indicato il personale che ha scelto di esercitare attività sanitarie anche in regime di libera professione. Le eventuali modifiche verranno comunicate tempestivamente. </w:t>
      </w:r>
    </w:p>
    <w:p>
      <w:pPr>
        <w:pStyle w:val="normal1"/>
        <w:keepNext w:val="false"/>
        <w:keepLines w:val="false"/>
        <w:pageBreakBefore w:val="false"/>
        <w:widowControl w:val="false"/>
        <w:pBdr/>
        <w:shd w:val="clear" w:fill="auto"/>
        <w:spacing w:lineRule="auto" w:line="360" w:before="2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14.2 - La Struttura si impegna, nei rapporti con i propri dipendenti, all’osservanza di tutta la normativa nazionale vigente in materia di lavoro, della Legge 189 del 30.07.2002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Modifica alla normativa in materia di immigrazione e di asilo.”,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D.Lgs 276 del 10.09.2003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Attuazione delle deleghe in materia di occupazione e mercato del lavoro, di cui alla legge 14 febbraio 2003, n. 30.”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e alla applicazione del contratto di lavoro vigente al momento della sottoscrizione del presente contratto. Si impegna, inoltre, ad accertare e dichiarare che nessuno dei sanitari o di altro personale che opera presso la Struttura si trovi in situazione di incompatibilità rispetto alle leggi n.412/1991 e n. 662/1996 e successive modifiche e/o integrazioni, nonché ai vigenti Accordi collettivi nazionali che disciplinano il rapporto di lavoro convenzionale con le Aziende UU.SS.LL. degli appartenenti alle categorie mediche (medicina generale, pediatria di libera scelta, specialistica ambulatoriale interna) prevedendo i casi di incompatibilità con l’attività nelle strutture accreditate e relative deroghe.</w:t>
      </w:r>
    </w:p>
    <w:p>
      <w:pPr>
        <w:pStyle w:val="normal1"/>
        <w:keepNext w:val="false"/>
        <w:keepLines w:val="false"/>
        <w:pageBreakBefore w:val="false"/>
        <w:widowControl w:val="false"/>
        <w:pBdr/>
        <w:shd w:val="clear" w:fill="auto"/>
        <w:spacing w:lineRule="auto" w:line="276" w:before="106"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spacing w:lineRule="auto" w:line="360"/>
        <w:ind w:hanging="0" w:start="455" w:end="0"/>
        <w:jc w:val="both"/>
        <w:rPr>
          <w:rFonts w:ascii="Garamond" w:hAnsi="Garamond" w:eastAsia="Garamond" w:cs="Garamond"/>
        </w:rPr>
      </w:pPr>
      <w:r>
        <w:rPr/>
        <w:t>ART. 15 - TRACCIABILITA’ FLUSSI FINANZIARI E VERIFICA ADEMPIMENTI FISCALI E CONTRIBUTIVI E VERIFICHE ANTIMAFIA</w:t>
      </w:r>
    </w:p>
    <w:p>
      <w:pPr>
        <w:pStyle w:val="normal1"/>
        <w:keepNext w:val="false"/>
        <w:keepLines w:val="false"/>
        <w:pageBreakBefore w:val="false"/>
        <w:widowControl w:val="false"/>
        <w:pBdr/>
        <w:shd w:val="clear" w:fill="auto"/>
        <w:tabs>
          <w:tab w:val="clear" w:pos="720"/>
          <w:tab w:val="left" w:pos="933" w:leader="none"/>
        </w:tabs>
        <w:spacing w:lineRule="auto" w:line="360" w:before="73"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15.1 - La Struttura assume gli obblighi di tracciabilità dei flussi finanziari di cui all’art. 3 della Legge 13 agosto 2010, n. 136 e ss.mm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Piano straordinario contro le mafie, nonché' delega al Governo in materia di normativa antimafia”</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deve, quindi, utilizzare un conto corrente bancario o postale, acceso presso banche o presso la società Poste italiane Spa, dedicato, anche non in via esclusiva. Tutti i movimenti finanziari relativi all’attività devono essere registrati sui conti correnti dedicati e, salvo quanto previsto al comma 3 del medesimo articolo, devono essere effettuati esclusivamente tramite lo strumento del bonifico bancario o postale, ovvero con altri strumenti di pagamento idonei a consentire la piena tracciabilità delle operazioni. I pagamenti destinati a dipendenti, consulenti e fornitori di beni e servizi rientranti tra le spese generali nonché quelli destinati all'acquisto di immobilizzazioni tecniche devono essere eseguiti tramite conto corrente dedicato, per il totale dovuto, anche se non riferibile in via esclusiva alla realizzazione degli interventi di cui al comma 1 del medesimo articolo.</w:t>
      </w:r>
    </w:p>
    <w:p>
      <w:pPr>
        <w:pStyle w:val="normal1"/>
        <w:keepNext w:val="false"/>
        <w:keepLines w:val="false"/>
        <w:pageBreakBefore w:val="false"/>
        <w:widowControl w:val="false"/>
        <w:pBdr/>
        <w:shd w:val="clear" w:fill="auto"/>
        <w:tabs>
          <w:tab w:val="clear" w:pos="720"/>
          <w:tab w:val="left" w:pos="927" w:leader="none"/>
        </w:tabs>
        <w:spacing w:lineRule="auto" w:line="360" w:before="12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15.2 - L’Azienda contraente, ai fini del pagamento delle competenze dovute alla Struttura, acquisirà il documento di regolarità contributiva (DURC).</w:t>
      </w:r>
    </w:p>
    <w:p>
      <w:pPr>
        <w:pStyle w:val="normal1"/>
        <w:keepNext w:val="false"/>
        <w:keepLines w:val="false"/>
        <w:pageBreakBefore w:val="false"/>
        <w:widowControl w:val="false"/>
        <w:pBdr/>
        <w:shd w:val="clear" w:fill="auto"/>
        <w:tabs>
          <w:tab w:val="clear" w:pos="720"/>
          <w:tab w:val="left" w:pos="945" w:leader="none"/>
        </w:tabs>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15.3 - La liquidazione delle competenze avverrà solo nel caso che la Struttura risulti in regola con la contribuzione verso gli Enti previdenziali.</w:t>
      </w:r>
    </w:p>
    <w:p>
      <w:pPr>
        <w:pStyle w:val="normal1"/>
        <w:keepNext w:val="false"/>
        <w:keepLines w:val="false"/>
        <w:pageBreakBefore w:val="false"/>
        <w:widowControl w:val="false"/>
        <w:pBdr/>
        <w:shd w:val="clear" w:fill="auto"/>
        <w:tabs>
          <w:tab w:val="clear" w:pos="720"/>
          <w:tab w:val="left" w:pos="951" w:leader="none"/>
        </w:tabs>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15.4 - In ossequio alla normativa vigente l’Azienda provvede alle verifiche ex Decreto legislativo 6 settembre 2011, n. 159 “</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Codice delle leggi antimafia e delle misure di prevenzione, nonché nuove disposizioni in materia di documentazione antimafia”.</w:t>
      </w:r>
    </w:p>
    <w:p>
      <w:pPr>
        <w:pStyle w:val="Heading1"/>
        <w:numPr>
          <w:ilvl w:val="0"/>
          <w:numId w:val="3"/>
        </w:numPr>
        <w:spacing w:lineRule="auto" w:line="240" w:before="121"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121" w:after="0"/>
        <w:ind w:hanging="0" w:start="455" w:end="0"/>
        <w:jc w:val="both"/>
        <w:rPr>
          <w:rFonts w:ascii="Garamond" w:hAnsi="Garamond" w:eastAsia="Garamond" w:cs="Garamond"/>
        </w:rPr>
      </w:pPr>
      <w:r>
        <w:rPr/>
        <w:t>ART. 16 – OBBLIGHI DELLA STRUTTURA</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16.1 - Per quanto riguarda i requisiti inerenti la normativa sulla sicurezza e di prevenzione incendi la Struttura si impegna ad adeguare la Struttura, il personale e l’organizzazione secondo le normative nazionali e regionali che potranno intervenire nel periodo di vigenza del presente atto.</w:t>
      </w:r>
    </w:p>
    <w:p>
      <w:pPr>
        <w:pStyle w:val="normal1"/>
        <w:keepNext w:val="false"/>
        <w:keepLines w:val="false"/>
        <w:pageBreakBefore w:val="false"/>
        <w:widowControl w:val="false"/>
        <w:pBdr/>
        <w:shd w:val="clear" w:fill="auto"/>
        <w:spacing w:lineRule="auto" w:line="276" w:before="120" w:after="0"/>
        <w:ind w:hanging="0" w:start="397" w:end="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16.2 - La struttura in quanto concessionario di un pubblico servizio utilizza PAGO PA.</w:t>
      </w:r>
    </w:p>
    <w:p>
      <w:pPr>
        <w:pStyle w:val="Heading1"/>
        <w:numPr>
          <w:ilvl w:val="0"/>
          <w:numId w:val="3"/>
        </w:numPr>
        <w:spacing w:lineRule="auto" w:line="240" w:before="256"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256" w:after="0"/>
        <w:ind w:hanging="0" w:start="455" w:end="0"/>
        <w:jc w:val="both"/>
        <w:rPr>
          <w:rFonts w:ascii="Garamond" w:hAnsi="Garamond" w:eastAsia="Garamond" w:cs="Garamond"/>
        </w:rPr>
      </w:pPr>
      <w:r>
        <w:rPr/>
        <w:t>ART. 17 – INADEMPIMENTI CONTRATTUALI</w:t>
      </w:r>
    </w:p>
    <w:p>
      <w:pPr>
        <w:pStyle w:val="normal1"/>
        <w:keepNext w:val="false"/>
        <w:keepLines w:val="false"/>
        <w:pageBreakBefore w:val="false"/>
        <w:widowControl w:val="false"/>
        <w:pBdr/>
        <w:shd w:val="clear" w:fill="auto"/>
        <w:tabs>
          <w:tab w:val="clear" w:pos="720"/>
          <w:tab w:val="left" w:pos="927" w:leader="none"/>
        </w:tabs>
        <w:spacing w:lineRule="auto" w:line="360" w:before="254"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17.1 - Nel caso di riscontrate inadempienze, ritenute dall’Azienda di gravità non tale da condurre, se singolarmente considerate, alla risoluzione contrattuale, l’Azienda è tenuta a contestare per iscritto, tramite PEC, le inadempienze stesse; le eventuali controdeduzioni della Struttura dovranno essere comunicate all’AUSL e non oltre il termine massimo di 15 giorni dal ricevimento delle contestazioni.</w:t>
      </w:r>
    </w:p>
    <w:p>
      <w:pPr>
        <w:pStyle w:val="normal1"/>
        <w:keepNext w:val="false"/>
        <w:keepLines w:val="false"/>
        <w:pageBreakBefore w:val="false"/>
        <w:widowControl w:val="false"/>
        <w:pBdr/>
        <w:shd w:val="clear" w:fill="auto"/>
        <w:tabs>
          <w:tab w:val="clear" w:pos="720"/>
          <w:tab w:val="left" w:pos="959" w:leader="none"/>
        </w:tabs>
        <w:spacing w:lineRule="auto" w:line="360" w:before="73"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17.2 - L’Azienda si riserva di rivalersi sulle strutture inadempienti in caso di penalizzazione economica derivata dal mancato invio o dall’invio scorretto dei flussi informatici, salvo ogni diritto per l’ipotesi che l’inadempimento non assuma carattere di gravità tale da legittimare la risoluzione del contratto.</w:t>
      </w:r>
    </w:p>
    <w:p>
      <w:pPr>
        <w:pStyle w:val="normal1"/>
        <w:keepNext w:val="false"/>
        <w:keepLines w:val="false"/>
        <w:pageBreakBefore w:val="false"/>
        <w:widowControl w:val="false"/>
        <w:pBdr/>
        <w:shd w:val="clear" w:fill="auto"/>
        <w:tabs>
          <w:tab w:val="clear" w:pos="720"/>
          <w:tab w:val="left" w:pos="959" w:leader="none"/>
        </w:tabs>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17.3 - L’Azienda si riserva altresì la facoltà di sospendere immediatamente il contratto qualora accerti il mancato rispetto dei requisiti organizzativi della struttura. Di fronte a tali violazione sarà concesso alla Struttura un termine di 30 giorni dalla contestazione affinché si adegui ai parametri indicati. Al termine di tale periodo, qualora venga verificato il persistere dell’inottemperanza al suddetto obbligo, l’Azienda valuterà la gravità del persistente inadempimento e procederà a sospendere ulteriormente il contratto per 90 giorni, al termine dei quali, nel caso perduri la violazione, il contratto s’intenderà automaticamente risolto, ovvero ad agire ai sensi dell’art. 17 che segue.</w:t>
      </w:r>
    </w:p>
    <w:p>
      <w:pPr>
        <w:pStyle w:val="normal1"/>
        <w:keepNext w:val="false"/>
        <w:keepLines w:val="false"/>
        <w:pageBreakBefore w:val="false"/>
        <w:widowControl w:val="false"/>
        <w:pBdr/>
        <w:shd w:val="clear" w:fill="auto"/>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17.4 - L’Azienda si riserva inoltre la facoltà di sospendere il contratto qualora accerti il mancato rispetto degli obblighi di cui all’art. 14 del presente contratto. Di fronte a tale inosservanza sarà concesso alla Struttura, ove l’Azienda non reputi la mancanza di gravità tale da legittimare la risoluzione immediata del contratto</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 xml:space="preserve">, </w:t>
      </w: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un termine di 30 giorni dalla contestazione affinché si adegui alla normativa. Al termine di tale periodo, qualora venga verificato il persistere dell’inottemperanza, si procederà a sospendere il contratto per 90 giorni, al termine dei quali, nel caso perduri la violazione, il contratto s’intenderà automaticamente risolto</w:t>
      </w:r>
      <w:r>
        <w:rPr>
          <w:rFonts w:eastAsia="Garamond" w:cs="Garamond" w:ascii="Garamond" w:hAnsi="Garamond"/>
          <w:b w:val="false"/>
          <w:bCs w:val="false"/>
          <w:i/>
          <w:iCs/>
          <w:caps w:val="false"/>
          <w:smallCaps w:val="false"/>
          <w:strike w:val="false"/>
          <w:dstrike w:val="false"/>
          <w:color w:val="000000"/>
          <w:position w:val="0"/>
          <w:sz w:val="24"/>
          <w:szCs w:val="24"/>
          <w:u w:val="none"/>
          <w:shd w:fill="auto" w:val="clear"/>
          <w:vertAlign w:val="baseline"/>
        </w:rPr>
        <w:t>.</w:t>
      </w:r>
    </w:p>
    <w:p>
      <w:pPr>
        <w:pStyle w:val="Heading1"/>
        <w:numPr>
          <w:ilvl w:val="0"/>
          <w:numId w:val="3"/>
        </w:numPr>
        <w:spacing w:lineRule="auto" w:line="240" w:before="120"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120" w:after="0"/>
        <w:ind w:hanging="0" w:start="455" w:end="0"/>
        <w:jc w:val="both"/>
        <w:rPr>
          <w:rFonts w:ascii="Garamond" w:hAnsi="Garamond" w:eastAsia="Garamond" w:cs="Garamond"/>
        </w:rPr>
      </w:pPr>
      <w:r>
        <w:rPr/>
        <w:t>ART. 18 – RISOLUZIONE DEL CONTRATTO</w:t>
      </w:r>
    </w:p>
    <w:p>
      <w:pPr>
        <w:pStyle w:val="normal1"/>
        <w:keepNext w:val="false"/>
        <w:keepLines w:val="false"/>
        <w:pageBreakBefore w:val="false"/>
        <w:widowControl w:val="false"/>
        <w:pBdr/>
        <w:shd w:val="clear" w:fill="auto"/>
        <w:spacing w:lineRule="auto" w:line="276" w:before="25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18.1 - L’Azienda procederà alla risoluzione immediata del contrattato </w:t>
      </w: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t>:</w:t>
      </w:r>
    </w:p>
    <w:p>
      <w:pPr>
        <w:pStyle w:val="normal1"/>
        <w:keepNext w:val="false"/>
        <w:keepLines w:val="false"/>
        <w:pageBreakBefore w:val="false"/>
        <w:widowControl w:val="false"/>
        <w:numPr>
          <w:ilvl w:val="0"/>
          <w:numId w:val="7"/>
        </w:numPr>
        <w:pBdr/>
        <w:shd w:val="clear" w:fill="auto"/>
        <w:tabs>
          <w:tab w:val="clear" w:pos="720"/>
          <w:tab w:val="left" w:pos="602" w:leader="none"/>
        </w:tabs>
        <w:spacing w:lineRule="auto" w:line="360" w:before="256"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qualora sia accertato che nell’ambito della manifestazione di interesse di cui in premessa siano state presentate dichiarazioni e/o documentazione mendaci o non veritiere circa il possesso dell’autorizzazione, accreditamento,  disponibilità, qualità, e caratteristiche della dotazione strumentale, presenza e funzionamento dei sistemi di sicurezza e di archiviazione, e qualsiasi altro elemento volto a falsare la valutazione della commissione;</w:t>
      </w:r>
    </w:p>
    <w:p>
      <w:pPr>
        <w:pStyle w:val="normal1"/>
        <w:keepNext w:val="false"/>
        <w:keepLines w:val="false"/>
        <w:pageBreakBefore w:val="false"/>
        <w:widowControl w:val="false"/>
        <w:numPr>
          <w:ilvl w:val="0"/>
          <w:numId w:val="7"/>
        </w:numPr>
        <w:pBdr/>
        <w:shd w:val="clear" w:fill="auto"/>
        <w:tabs>
          <w:tab w:val="clear" w:pos="720"/>
          <w:tab w:val="left" w:pos="812" w:leader="none"/>
          <w:tab w:val="left" w:pos="816" w:leader="none"/>
        </w:tabs>
        <w:spacing w:lineRule="auto" w:line="360" w:before="176"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qualora la Struttura non risulti più in regola con le procedure o con i requisiti previsti per l'autorizzazione all’esercizio di attività sanitarie e per l'accreditamento istituzionale e in caso di decadenza degli stessi;</w:t>
      </w:r>
    </w:p>
    <w:p>
      <w:pPr>
        <w:pStyle w:val="normal1"/>
        <w:keepNext w:val="false"/>
        <w:keepLines w:val="false"/>
        <w:pageBreakBefore w:val="false"/>
        <w:widowControl w:val="false"/>
        <w:numPr>
          <w:ilvl w:val="0"/>
          <w:numId w:val="7"/>
        </w:numPr>
        <w:pBdr/>
        <w:shd w:val="clear" w:fill="auto"/>
        <w:tabs>
          <w:tab w:val="clear" w:pos="720"/>
          <w:tab w:val="left" w:pos="792" w:leader="none"/>
          <w:tab w:val="left" w:pos="816" w:leader="none"/>
        </w:tabs>
        <w:spacing w:lineRule="auto" w:line="360" w:before="73"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gravi e ripetute violazioni delle norme in materia di sicurezza e delle norme dettate a tutela dei lavoratori, nonché inadempimento delle obbligazioni contrattuali tali da compromettere la buona riuscita del servizio;</w:t>
      </w:r>
    </w:p>
    <w:p>
      <w:pPr>
        <w:pStyle w:val="normal1"/>
        <w:keepNext w:val="false"/>
        <w:keepLines w:val="false"/>
        <w:pageBreakBefore w:val="false"/>
        <w:widowControl w:val="false"/>
        <w:numPr>
          <w:ilvl w:val="0"/>
          <w:numId w:val="7"/>
        </w:numPr>
        <w:pBdr/>
        <w:shd w:val="clear" w:fill="auto"/>
        <w:tabs>
          <w:tab w:val="clear" w:pos="720"/>
          <w:tab w:val="left" w:pos="816" w:leader="none"/>
          <w:tab w:val="left" w:pos="852" w:leader="none"/>
        </w:tabs>
        <w:spacing w:lineRule="auto" w:line="360" w:before="229"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b/>
        <w:t>l’accertato utilizzo di personale incompatibile per la produzione delle attività convenzionate, in violazione delle norme previste in materia dalla legislazione vigente e richiamate dal presente Accordo;</w:t>
      </w:r>
    </w:p>
    <w:p>
      <w:pPr>
        <w:pStyle w:val="normal1"/>
        <w:keepNext w:val="false"/>
        <w:keepLines w:val="false"/>
        <w:pageBreakBefore w:val="false"/>
        <w:widowControl w:val="false"/>
        <w:numPr>
          <w:ilvl w:val="0"/>
          <w:numId w:val="7"/>
        </w:numPr>
        <w:pBdr/>
        <w:shd w:val="clear" w:fill="auto"/>
        <w:tabs>
          <w:tab w:val="clear" w:pos="720"/>
          <w:tab w:val="left" w:pos="816" w:leader="none"/>
          <w:tab w:val="left" w:pos="986" w:leader="none"/>
        </w:tabs>
        <w:spacing w:lineRule="auto" w:line="360" w:before="119"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b/>
        <w:t>in caso di riscontrati inadeguati livelli quali-quantitativi del servizio (con obbligo della struttura di garantire la continuità del servizio nel rispetto di tutte le obbligazioni nascenti dal contratto) e di gravi e ripetuti ed irrisolti disservizi, oggetto di formali diffide ad adempiere da parte dei servizi competenti;</w:t>
      </w:r>
    </w:p>
    <w:p>
      <w:pPr>
        <w:pStyle w:val="normal1"/>
        <w:keepNext w:val="false"/>
        <w:keepLines w:val="false"/>
        <w:pageBreakBefore w:val="false"/>
        <w:widowControl w:val="false"/>
        <w:numPr>
          <w:ilvl w:val="0"/>
          <w:numId w:val="7"/>
        </w:numPr>
        <w:pBdr/>
        <w:shd w:val="clear" w:fill="auto"/>
        <w:tabs>
          <w:tab w:val="clear" w:pos="720"/>
          <w:tab w:val="left" w:pos="829" w:leader="none"/>
        </w:tabs>
        <w:spacing w:lineRule="auto" w:line="240" w:before="121"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in caso di grave e reiterata mancanza nell’ottemperanza al debito informativo;</w:t>
      </w:r>
    </w:p>
    <w:p>
      <w:pPr>
        <w:pStyle w:val="normal1"/>
        <w:keepNext w:val="false"/>
        <w:keepLines w:val="false"/>
        <w:pageBreakBefore w:val="false"/>
        <w:widowControl w:val="false"/>
        <w:numPr>
          <w:ilvl w:val="0"/>
          <w:numId w:val="7"/>
        </w:numPr>
        <w:pBdr/>
        <w:shd w:val="clear" w:fill="auto"/>
        <w:tabs>
          <w:tab w:val="clear" w:pos="720"/>
          <w:tab w:val="left" w:pos="754" w:leader="none"/>
          <w:tab w:val="left" w:pos="816" w:leader="none"/>
        </w:tabs>
        <w:spacing w:lineRule="auto" w:line="360" w:before="171" w:after="171"/>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l’accertato mancato utilizzo del bonifico bancario o postale ovvero di altri strumenti idonei a consentire la piena tracciabilità delle operazioni;</w:t>
      </w:r>
    </w:p>
    <w:p>
      <w:pPr>
        <w:pStyle w:val="normal1"/>
        <w:keepNext w:val="false"/>
        <w:keepLines w:val="false"/>
        <w:pageBreakBefore w:val="false"/>
        <w:widowControl w:val="false"/>
        <w:numPr>
          <w:ilvl w:val="0"/>
          <w:numId w:val="7"/>
        </w:numPr>
        <w:pBdr/>
        <w:shd w:val="clear" w:fill="auto"/>
        <w:tabs>
          <w:tab w:val="clear" w:pos="720"/>
          <w:tab w:val="left" w:pos="702" w:leader="none"/>
        </w:tabs>
        <w:spacing w:lineRule="auto" w:line="360" w:before="0"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l’accertata violazione da parte della Struttura, delle norme vigenti in materia di tutela dei dati personali;</w:t>
      </w:r>
    </w:p>
    <w:p>
      <w:pPr>
        <w:pStyle w:val="normal1"/>
        <w:keepNext w:val="false"/>
        <w:keepLines w:val="false"/>
        <w:pageBreakBefore w:val="false"/>
        <w:widowControl w:val="false"/>
        <w:numPr>
          <w:ilvl w:val="0"/>
          <w:numId w:val="7"/>
        </w:numPr>
        <w:pBdr/>
        <w:shd w:val="clear" w:fill="auto"/>
        <w:tabs>
          <w:tab w:val="clear" w:pos="720"/>
          <w:tab w:val="left" w:pos="787" w:leader="none"/>
          <w:tab w:val="left" w:pos="816" w:leader="none"/>
        </w:tabs>
        <w:spacing w:lineRule="auto" w:line="360" w:before="120" w:after="0"/>
        <w:ind w:hanging="148" w:start="456" w:end="0"/>
        <w:jc w:val="both"/>
        <w:rPr>
          <w:rFonts w:ascii="Garamond" w:hAnsi="Garamond" w:eastAsia="Garamond" w:cs="Garamond"/>
          <w:caps w:val="false"/>
          <w:smallCaps w:val="false"/>
          <w:strike w:val="false"/>
          <w:dstrike w:val="false"/>
          <w:color w:val="000000"/>
          <w:position w:val="0"/>
          <w:sz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la mancata messa a disposizione dell’Azienda della polizza nel corso del rapporto contrattuale o la mancata stipula della stessa alle condizioni indicate dal presente Accordo ovvero il venir meno della polizza stessa per tutta la durata del rapporto.</w:t>
      </w:r>
    </w:p>
    <w:p>
      <w:pPr>
        <w:pStyle w:val="normal1"/>
        <w:keepNext w:val="false"/>
        <w:keepLines w:val="false"/>
        <w:pageBreakBefore w:val="false"/>
        <w:widowControl w:val="false"/>
        <w:pBdr/>
        <w:shd w:val="clear" w:fill="auto"/>
        <w:spacing w:lineRule="auto" w:line="276" w:before="44"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1"/>
        <w:numPr>
          <w:ilvl w:val="0"/>
          <w:numId w:val="3"/>
        </w:numPr>
        <w:ind w:hanging="0" w:start="455" w:end="0"/>
        <w:jc w:val="both"/>
        <w:rPr>
          <w:rFonts w:ascii="Garamond" w:hAnsi="Garamond" w:eastAsia="Garamond" w:cs="Garamond"/>
        </w:rPr>
      </w:pPr>
      <w:r>
        <w:rPr/>
        <w:t>ART. 19 - OBBLIGHI ASSICURATIVI</w:t>
      </w:r>
    </w:p>
    <w:p>
      <w:pPr>
        <w:pStyle w:val="normal1"/>
        <w:keepNext w:val="false"/>
        <w:keepLines w:val="false"/>
        <w:pageBreakBefore w:val="false"/>
        <w:widowControl w:val="false"/>
        <w:pBdr/>
        <w:shd w:val="clear" w:fill="auto"/>
        <w:spacing w:lineRule="auto" w:line="360" w:before="25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19.1 - Nell’espletamento del servizio, la Struttura è tenuta a tenere indenne ed a manlevare l’Azienda da ogni e qualsiasi responsabilità potesse derivarle per danni a terzi, persone, animali o cose, derivanti, direttamente o indirettamente, da attività o eventi comunque riconducibili al presente contratto.</w:t>
      </w:r>
    </w:p>
    <w:p>
      <w:pPr>
        <w:pStyle w:val="Heading1"/>
        <w:numPr>
          <w:ilvl w:val="0"/>
          <w:numId w:val="3"/>
        </w:numPr>
        <w:spacing w:lineRule="auto" w:line="240" w:before="120" w:after="0"/>
        <w:ind w:hanging="0" w:start="455" w:end="0"/>
        <w:jc w:val="both"/>
        <w:rPr>
          <w:rFonts w:ascii="Garamond" w:hAnsi="Garamond" w:eastAsia="Garamond" w:cs="Garamond"/>
        </w:rPr>
      </w:pPr>
      <w:r>
        <w:rPr>
          <w:rFonts w:eastAsia="Garamond" w:cs="Garamond"/>
        </w:rPr>
      </w:r>
    </w:p>
    <w:p>
      <w:pPr>
        <w:pStyle w:val="Heading1"/>
        <w:numPr>
          <w:ilvl w:val="0"/>
          <w:numId w:val="3"/>
        </w:numPr>
        <w:spacing w:lineRule="auto" w:line="240" w:before="120" w:after="0"/>
        <w:ind w:hanging="0" w:start="455" w:end="0"/>
        <w:jc w:val="both"/>
        <w:rPr>
          <w:rFonts w:ascii="Garamond" w:hAnsi="Garamond" w:eastAsia="Garamond" w:cs="Garamond"/>
        </w:rPr>
      </w:pPr>
      <w:r>
        <w:rPr/>
        <w:t>ART. 20 – TRATTAMENTO E TUTELA DEI DATI PERSONALI</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20.1 - Il trattamento dei dati personali dovrà avvenire nel rispetto del Regolamento Europeo 2016/679 (RGPD), del D.Lgs. 196/2003 e successive modifiche ed integrazioni. L'Azienda Toscana Usl Nord Ovest svolge la funzione di Titolare del trattamento dei dati personali (di seguito Titolare) ai sensi dell'art. 24 del Regolamento U.E. n. 679 del Parlamento Europeo e del Consiglio del 27.4.2016.</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20.2 - Le parti, presa visione dell’allegato "Atto Giuridico di definizione delle responsabilità nella materia della protezione dei dati personali ai sensi dell'art. 28 del Regolamento UE 2016/679" al presente atto, quale sua parte integrante e sostanziale, ne accettano espressamente le clausole, consapevoli che con l’apposizione delle rispettive sottoscrizioni in calce, l’Azienda, in qualità di Titolare attribuisce alla ditta/fornitore/associazione ect.. la qualità di Responsabile del trattamento dati personali ai sensi dell’art. 28 del Regolamento UE 2016/679. L'atto giuridico di cui all'allegato vale anche come "istruzione documentata" di cui all'art. 28, paragrafo 3, punto a), del Regolamento U.E. n. 679/2016.</w:t>
      </w:r>
    </w:p>
    <w:p>
      <w:pPr>
        <w:pStyle w:val="Heading1"/>
        <w:numPr>
          <w:ilvl w:val="0"/>
          <w:numId w:val="3"/>
        </w:numPr>
        <w:ind w:hanging="0" w:start="455" w:end="0"/>
        <w:rPr>
          <w:rFonts w:ascii="Garamond" w:hAnsi="Garamond" w:eastAsia="Garamond" w:cs="Garamond"/>
        </w:rPr>
      </w:pPr>
      <w:r>
        <w:rPr>
          <w:rFonts w:eastAsia="Garamond" w:cs="Garamond"/>
        </w:rPr>
      </w:r>
    </w:p>
    <w:p>
      <w:pPr>
        <w:pStyle w:val="Heading1"/>
        <w:numPr>
          <w:ilvl w:val="0"/>
          <w:numId w:val="3"/>
        </w:numPr>
        <w:ind w:hanging="0" w:start="455" w:end="0"/>
        <w:rPr>
          <w:rFonts w:ascii="Garamond" w:hAnsi="Garamond" w:eastAsia="Garamond" w:cs="Garamond"/>
        </w:rPr>
      </w:pPr>
      <w:r>
        <w:rPr/>
        <w:t>ART. 21 - FORO COMPETENTE</w:t>
      </w:r>
    </w:p>
    <w:p>
      <w:pPr>
        <w:pStyle w:val="normal1"/>
        <w:keepNext w:val="false"/>
        <w:keepLines w:val="false"/>
        <w:pageBreakBefore w:val="false"/>
        <w:widowControl w:val="false"/>
        <w:pBdr/>
        <w:shd w:val="clear" w:fill="auto"/>
        <w:spacing w:lineRule="auto" w:line="276" w:before="254" w:after="0"/>
        <w:ind w:hanging="0" w:start="426" w:end="16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21.1 - Per ogni controversia le parti convengono che sia competente il Foro di Pisa</w:t>
      </w:r>
    </w:p>
    <w:p>
      <w:pPr>
        <w:pStyle w:val="Heading1"/>
        <w:numPr>
          <w:ilvl w:val="0"/>
          <w:numId w:val="3"/>
        </w:numPr>
        <w:spacing w:lineRule="auto" w:line="240" w:before="256" w:after="0"/>
        <w:ind w:hanging="0" w:start="455" w:end="0"/>
        <w:rPr>
          <w:rFonts w:ascii="Garamond" w:hAnsi="Garamond" w:eastAsia="Garamond" w:cs="Garamond"/>
        </w:rPr>
      </w:pPr>
      <w:r>
        <w:rPr>
          <w:rFonts w:eastAsia="Garamond" w:cs="Garamond"/>
        </w:rPr>
      </w:r>
    </w:p>
    <w:p>
      <w:pPr>
        <w:pStyle w:val="Heading1"/>
        <w:numPr>
          <w:ilvl w:val="0"/>
          <w:numId w:val="3"/>
        </w:numPr>
        <w:spacing w:lineRule="auto" w:line="240" w:before="256" w:after="0"/>
        <w:ind w:hanging="0" w:start="455" w:end="0"/>
        <w:rPr>
          <w:rFonts w:ascii="Garamond" w:hAnsi="Garamond" w:eastAsia="Garamond" w:cs="Garamond"/>
        </w:rPr>
      </w:pPr>
      <w:r>
        <w:rPr/>
        <w:t>ART. 22 – DECORRENZA E VALIDITA’</w:t>
      </w:r>
    </w:p>
    <w:p>
      <w:pPr>
        <w:pStyle w:val="normal1"/>
        <w:keepNext w:val="false"/>
        <w:keepLines w:val="false"/>
        <w:pageBreakBefore w:val="false"/>
        <w:widowControl w:val="false"/>
        <w:pBdr/>
        <w:shd w:val="clear" w:fill="auto"/>
        <w:spacing w:lineRule="auto" w:line="360" w:before="254"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22.1.- Il presente contratto ha decorrenza dall’01/01/2026 e termine al 31/12/2026, salvo ulteriore proroga di 12 mesi. Le parti concordano che nelle more della sottoscrizione del presente contratto sono fatti salvi i rapporti eventualmente intercorsi tra le parti secondo quanto previsto nel presente Accordo.</w:t>
      </w:r>
    </w:p>
    <w:p>
      <w:pPr>
        <w:pStyle w:val="normal1"/>
        <w:keepNext w:val="false"/>
        <w:keepLines w:val="false"/>
        <w:pageBreakBefore w:val="false"/>
        <w:widowControl w:val="false"/>
        <w:pBdr/>
        <w:shd w:val="clear" w:fill="auto"/>
        <w:spacing w:lineRule="auto" w:line="360" w:before="120"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22.2 - I contenuti del presente contratto saranno soggetti a revisione ed ad adeguamento alle eventuali previsioni ed indicazioni che la Regione potrà trasmettere alle Aziende nel corso della validità contrattuale.</w:t>
      </w:r>
    </w:p>
    <w:p>
      <w:pPr>
        <w:pStyle w:val="normal1"/>
        <w:keepNext w:val="false"/>
        <w:keepLines w:val="false"/>
        <w:pageBreakBefore w:val="false"/>
        <w:widowControl w:val="false"/>
        <w:pBdr/>
        <w:shd w:val="clear" w:fill="auto"/>
        <w:spacing w:lineRule="auto" w:line="360" w:before="121"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22.3 - Alla decorrenza del termine di scadenza l’Accordo contrattuale si intende cessato.</w:t>
      </w:r>
    </w:p>
    <w:p>
      <w:pPr>
        <w:pStyle w:val="normal1"/>
        <w:keepNext w:val="false"/>
        <w:keepLines w:val="false"/>
        <w:pageBreakBefore w:val="false"/>
        <w:widowControl w:val="false"/>
        <w:pBdr/>
        <w:shd w:val="clear" w:fill="auto"/>
        <w:spacing w:lineRule="auto" w:line="360" w:before="17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22.4 - I contenuti organizzativi ed economici del presente atto possono essere oggetto di revisione periodica per variazioni che dovessero intervenire a seguito dell'emanazione di leggi, regolamenti, disposizioni nazionali e/o regionali.</w:t>
      </w:r>
    </w:p>
    <w:p>
      <w:pPr>
        <w:pStyle w:val="normal1"/>
        <w:keepNext w:val="false"/>
        <w:keepLines w:val="false"/>
        <w:pageBreakBefore w:val="false"/>
        <w:widowControl w:val="false"/>
        <w:pBdr/>
        <w:shd w:val="clear" w:fill="auto"/>
        <w:spacing w:lineRule="auto" w:line="276" w:before="129"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3"/>
        </w:numPr>
        <w:ind w:hanging="0" w:start="455" w:end="0"/>
        <w:rPr>
          <w:rFonts w:ascii="Garamond" w:hAnsi="Garamond" w:eastAsia="Garamond" w:cs="Garamond"/>
        </w:rPr>
      </w:pPr>
      <w:r>
        <w:rPr/>
        <w:t>ART. 23 – SPESE</w:t>
      </w:r>
    </w:p>
    <w:p>
      <w:pPr>
        <w:pStyle w:val="normal1"/>
        <w:keepNext w:val="false"/>
        <w:keepLines w:val="false"/>
        <w:pageBreakBefore w:val="false"/>
        <w:widowControl w:val="false"/>
        <w:pBdr/>
        <w:shd w:val="clear" w:fill="auto"/>
        <w:tabs>
          <w:tab w:val="clear" w:pos="720"/>
          <w:tab w:val="left" w:pos="686" w:leader="none"/>
        </w:tabs>
        <w:spacing w:lineRule="auto" w:line="360" w:before="171" w:after="171"/>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23.1 - Il presente atto è soggetto all’imposta di bollo ai sensi dell'art. 2 dell’Allegato A – Tariffa Parte I, al Decreto del Presidente della Repubblica 26 ottobre 1972, n. 642. Le spese di bollo sono poste a carico della Struttura.</w:t>
      </w:r>
    </w:p>
    <w:p>
      <w:pPr>
        <w:pStyle w:val="normal1"/>
        <w:keepNext w:val="false"/>
        <w:keepLines w:val="false"/>
        <w:pageBreakBefore w:val="false"/>
        <w:widowControl w:val="false"/>
        <w:pBdr/>
        <w:shd w:val="clear" w:fill="auto"/>
        <w:tabs>
          <w:tab w:val="clear" w:pos="720"/>
          <w:tab w:val="left" w:pos="771" w:leader="none"/>
        </w:tabs>
        <w:spacing w:lineRule="auto" w:line="360" w:before="0" w:after="0"/>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23.2 - Il presente atto è soggetto a registrazione in caso d’uso. Le spese di registrazione sono poste a carico della parte richiedente. Le spese di bollo di € 64,00 ed ogni altra eventuale sono a carico della struttura.</w:t>
      </w:r>
    </w:p>
    <w:p>
      <w:pPr>
        <w:pStyle w:val="Heading2"/>
        <w:numPr>
          <w:ilvl w:val="1"/>
          <w:numId w:val="3"/>
        </w:numPr>
        <w:spacing w:lineRule="auto" w:line="240" w:before="171" w:after="0"/>
        <w:ind w:hanging="0" w:start="455" w:end="0"/>
        <w:rPr>
          <w:rFonts w:ascii="Garamond" w:hAnsi="Garamond" w:eastAsia="Garamond" w:cs="Garamond"/>
        </w:rPr>
      </w:pPr>
      <w:r>
        <w:rPr>
          <w:rFonts w:eastAsia="Garamond" w:cs="Garamond"/>
        </w:rPr>
      </w:r>
    </w:p>
    <w:p>
      <w:pPr>
        <w:pStyle w:val="Heading2"/>
        <w:numPr>
          <w:ilvl w:val="1"/>
          <w:numId w:val="3"/>
        </w:numPr>
        <w:spacing w:lineRule="auto" w:line="240" w:before="171" w:after="0"/>
        <w:ind w:hanging="0" w:start="455" w:end="0"/>
        <w:rPr>
          <w:rFonts w:ascii="Garamond" w:hAnsi="Garamond" w:eastAsia="Garamond" w:cs="Garamond"/>
        </w:rPr>
      </w:pPr>
      <w:r>
        <w:rPr/>
        <w:t>ART. 24 – REPERTORIO</w:t>
      </w:r>
    </w:p>
    <w:p>
      <w:pPr>
        <w:pStyle w:val="normal1"/>
        <w:keepNext w:val="false"/>
        <w:keepLines w:val="false"/>
        <w:pageBreakBefore w:val="false"/>
        <w:widowControl w:val="false"/>
        <w:pBdr/>
        <w:shd w:val="clear" w:fill="auto"/>
        <w:tabs>
          <w:tab w:val="clear" w:pos="720"/>
          <w:tab w:val="left" w:pos="916" w:leader="none"/>
        </w:tabs>
        <w:spacing w:lineRule="auto" w:line="360" w:before="187" w:after="114"/>
        <w:ind w:hanging="0" w:start="397" w:end="57"/>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24.1 - Il presente Accordo contrattuale viene stipulato in forma di scrittura privata non autenticata, secondo le regole della sottoscrizione digitale, con firma manuale o elettronica.</w:t>
      </w:r>
    </w:p>
    <w:p>
      <w:pPr>
        <w:pStyle w:val="normal1"/>
        <w:keepNext w:val="false"/>
        <w:keepLines w:val="false"/>
        <w:pageBreakBefore w:val="false"/>
        <w:widowControl w:val="false"/>
        <w:pBdr/>
        <w:shd w:val="clear" w:fill="auto"/>
        <w:tabs>
          <w:tab w:val="clear" w:pos="720"/>
          <w:tab w:val="left" w:pos="954" w:leader="none"/>
        </w:tabs>
        <w:spacing w:lineRule="auto" w:line="360" w:before="177" w:after="0"/>
        <w:ind w:hanging="0" w:start="397" w:end="17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24.2 - Il presente Accordo contrattuale consta di n. 25 articoli e n. 15 pagine;</w:t>
      </w:r>
    </w:p>
    <w:p>
      <w:pPr>
        <w:pStyle w:val="normal1"/>
        <w:keepNext w:val="false"/>
        <w:keepLines w:val="false"/>
        <w:pageBreakBefore w:val="false"/>
        <w:widowControl w:val="false"/>
        <w:pBdr/>
        <w:shd w:val="clear" w:fill="auto"/>
        <w:tabs>
          <w:tab w:val="clear" w:pos="720"/>
          <w:tab w:val="left" w:pos="964" w:leader="none"/>
        </w:tabs>
        <w:spacing w:lineRule="auto" w:line="360" w:before="57"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24.3 - Il presente atto è trasmesso in copia alla Direzione regionale Diritti di Cittadinanza e Coesione Sociale.</w:t>
      </w:r>
    </w:p>
    <w:p>
      <w:pPr>
        <w:pStyle w:val="Heading2"/>
        <w:numPr>
          <w:ilvl w:val="1"/>
          <w:numId w:val="3"/>
        </w:numPr>
        <w:spacing w:lineRule="auto" w:line="240" w:before="120" w:after="0"/>
        <w:ind w:hanging="0" w:start="455" w:end="0"/>
        <w:rPr>
          <w:rFonts w:ascii="Garamond" w:hAnsi="Garamond" w:eastAsia="Garamond" w:cs="Garamond"/>
        </w:rPr>
      </w:pPr>
      <w:r>
        <w:rPr>
          <w:rFonts w:eastAsia="Garamond" w:cs="Garamond"/>
        </w:rPr>
      </w:r>
    </w:p>
    <w:p>
      <w:pPr>
        <w:pStyle w:val="Heading2"/>
        <w:numPr>
          <w:ilvl w:val="1"/>
          <w:numId w:val="3"/>
        </w:numPr>
        <w:spacing w:lineRule="auto" w:line="240" w:before="120" w:after="0"/>
        <w:ind w:hanging="0" w:start="455" w:end="0"/>
        <w:rPr>
          <w:rFonts w:ascii="Garamond" w:hAnsi="Garamond" w:eastAsia="Garamond" w:cs="Garamond"/>
        </w:rPr>
      </w:pPr>
      <w:r>
        <w:rPr/>
        <w:t>ART. 25 – TRASPARENZA ED INTEGRITÀ</w:t>
      </w:r>
    </w:p>
    <w:p>
      <w:pPr>
        <w:pStyle w:val="normal1"/>
        <w:keepNext w:val="false"/>
        <w:keepLines w:val="false"/>
        <w:pageBreakBefore w:val="false"/>
        <w:widowControl w:val="false"/>
        <w:pBdr/>
        <w:shd w:val="clear" w:fill="auto"/>
        <w:tabs>
          <w:tab w:val="clear" w:pos="720"/>
          <w:tab w:val="left" w:pos="918" w:leader="none"/>
        </w:tabs>
        <w:spacing w:lineRule="auto" w:line="360" w:before="256"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25.1 - La Società dichiara di aver preso visione del codice etico dell’Azienda e del relativo aggiornamento di accettarne il contenuto per quanto applicabile e condividerne i principi.</w:t>
      </w:r>
    </w:p>
    <w:p>
      <w:pPr>
        <w:pStyle w:val="normal1"/>
        <w:keepNext w:val="false"/>
        <w:keepLines w:val="false"/>
        <w:pageBreakBefore w:val="false"/>
        <w:widowControl w:val="false"/>
        <w:pBdr/>
        <w:shd w:val="clear" w:fill="auto"/>
        <w:spacing w:lineRule="auto" w:line="360" w:before="119" w:after="0"/>
        <w:ind w:hanging="0" w:start="397" w:end="0"/>
        <w:jc w:val="both"/>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25.2 - La Società è consapevole, accetta ed autorizza l’Azienda alla pubblicazione integrale del presente Accordo contrattuale e di tutti gli allegati sul portale della trasparenza dell’Azienda nonché alla pubblicazione dei dati previsti dalla vigente normativa. Si impegna altresì al rispetto delle vigenti disposizioni in materia di trasparenza per la parte di competenza.</w:t>
      </w:r>
    </w:p>
    <w:p>
      <w:pPr>
        <w:pStyle w:val="normal1"/>
        <w:keepNext w:val="false"/>
        <w:keepLines w:val="false"/>
        <w:pageBreakBefore w:val="false"/>
        <w:widowControl w:val="false"/>
        <w:pBdr/>
        <w:shd w:val="clear" w:fill="auto"/>
        <w:tabs>
          <w:tab w:val="clear" w:pos="720"/>
          <w:tab w:val="left" w:pos="3660" w:leader="none"/>
        </w:tabs>
        <w:spacing w:lineRule="auto" w:line="461"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Letto, approvato e sottoscritto, Data </w:t>
      </w:r>
      <w:r>
        <w:rPr>
          <w:rFonts w:eastAsia="Garamond" w:cs="Garamond" w:ascii="Garamond" w:hAnsi="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keepNext w:val="false"/>
        <w:keepLines w:val="false"/>
        <w:pageBreakBefore w:val="false"/>
        <w:widowControl w:val="false"/>
        <w:pBdr/>
        <w:shd w:val="clear" w:fill="auto"/>
        <w:spacing w:lineRule="auto" w:line="276" w:before="10"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tabs>
          <w:tab w:val="clear" w:pos="720"/>
          <w:tab w:val="left" w:pos="6215" w:leader="none"/>
        </w:tabs>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per l’Azienda USL Toscana Nord Ovest</w:t>
        <w:tab/>
        <w:t>per la struttura</w:t>
      </w:r>
    </w:p>
    <w:p>
      <w:pPr>
        <w:pStyle w:val="normal1"/>
        <w:keepNext w:val="false"/>
        <w:keepLines w:val="false"/>
        <w:pageBreakBefore w:val="false"/>
        <w:widowControl w:val="false"/>
        <w:pBdr/>
        <w:shd w:val="clear" w:fill="auto"/>
        <w:spacing w:lineRule="auto" w:line="276" w:before="42"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r>
    </w:p>
    <w:p>
      <w:pPr>
        <w:pStyle w:val="Heading2"/>
        <w:numPr>
          <w:ilvl w:val="1"/>
          <w:numId w:val="3"/>
        </w:numPr>
        <w:tabs>
          <w:tab w:val="clear" w:pos="720"/>
          <w:tab w:val="left" w:pos="5495" w:leader="none"/>
        </w:tabs>
        <w:ind w:hanging="0" w:start="455" w:end="0"/>
        <w:rPr>
          <w:rFonts w:ascii="Garamond" w:hAnsi="Garamond" w:eastAsia="Garamond" w:cs="Garamond"/>
        </w:rPr>
      </w:pPr>
      <w:r>
        <w:rPr/>
        <w:t>Il Direttore Generale</w:t>
        <w:tab/>
        <w:t>Il Legale Rappresentante</w:t>
      </w:r>
    </w:p>
    <w:p>
      <w:pPr>
        <w:pStyle w:val="normal1"/>
        <w:keepNext w:val="false"/>
        <w:keepLines w:val="false"/>
        <w:pageBreakBefore w:val="false"/>
        <w:widowControl w:val="false"/>
        <w:pBdr/>
        <w:shd w:val="clear" w:fill="auto"/>
        <w:spacing w:lineRule="auto" w:line="276" w:before="36" w:after="0"/>
        <w:ind w:hanging="0" w:start="426" w:end="160"/>
        <w:jc w:val="start"/>
        <w:rPr>
          <w:rFonts w:ascii="Garamond" w:hAnsi="Garamond" w:eastAsia="Garamond" w:cs="Garamond"/>
          <w:b/>
          <w:bCs/>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bCs/>
          <w:i w:val="false"/>
          <w:iCs w:val="false"/>
          <w:caps w:val="false"/>
          <w:smallCaps w:val="false"/>
          <w:strike w:val="false"/>
          <w:dstrike w:val="false"/>
          <w:color w:val="000000"/>
          <w:position w:val="0"/>
          <w:sz w:val="24"/>
          <w:szCs w:val="24"/>
          <w:u w:val="none"/>
          <w:shd w:fill="auto" w:val="clear"/>
          <w:vertAlign w:val="baseline"/>
        </w:rPr>
      </w:r>
    </w:p>
    <w:p>
      <w:pPr>
        <w:pStyle w:val="normal1"/>
        <w:keepNext w:val="false"/>
        <w:keepLines w:val="false"/>
        <w:pageBreakBefore w:val="false"/>
        <w:widowControl w:val="false"/>
        <w:pBdr/>
        <w:shd w:val="clear" w:fill="auto"/>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Ai sensi dell’art. 1341 c.c. la Struttura approva specificatamente gli artt.:</w:t>
      </w:r>
    </w:p>
    <w:p>
      <w:pPr>
        <w:pStyle w:val="normal1"/>
        <w:spacing w:lineRule="auto" w:line="360" w:before="249" w:after="0"/>
        <w:ind w:hanging="0" w:start="426" w:end="160"/>
        <w:jc w:val="both"/>
        <w:rPr>
          <w:rFonts w:ascii="Garamond" w:hAnsi="Garamond" w:eastAsia="Garamond" w:cs="Garamond"/>
          <w:strike w:val="false"/>
          <w:dstrike w:val="false"/>
          <w:sz w:val="20"/>
          <w:szCs w:val="20"/>
        </w:rPr>
      </w:pPr>
      <w:r>
        <w:rPr>
          <w:rFonts w:eastAsia="Garamond" w:cs="Garamond" w:ascii="Garamond" w:hAnsi="Garamond"/>
          <w:strike w:val="false"/>
          <w:dstrike w:val="false"/>
          <w:sz w:val="20"/>
          <w:szCs w:val="20"/>
        </w:rPr>
        <w:t>ART. 9 - MODALITÀ di TRASMISSIONE dei FLUSSI INFORMATICI E FASCICOLO ELETTRONICO, ART. 10 - MODALITA’ RICHIESTA PAGAMENTI, 11) MODALITA' DI PAGAMENTO, ART. 15 - TRACCIABILITA’ FLUSSI FINANZIARI E VERIFICA ADEMPIMENTI FISCALI E CONTRIBUTIVI E VERIFICHE ANTIMAFIA, ART. 17 – INADEMPIMENTI CONTRATTUALI, ART. 18 – RISOLUZIONE DEL CONTRATTO, ART. 19 - OBBLIGHI ASSICURATIVI</w:t>
      </w:r>
    </w:p>
    <w:p>
      <w:pPr>
        <w:pStyle w:val="normal1"/>
        <w:keepNext w:val="false"/>
        <w:keepLines w:val="false"/>
        <w:pageBreakBefore w:val="false"/>
        <w:widowControl w:val="false"/>
        <w:pBdr/>
        <w:shd w:val="clear" w:fill="auto"/>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spacing w:lineRule="auto" w:line="276" w:before="121" w:after="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0"/>
          <w:szCs w:val="20"/>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0"/>
          <w:szCs w:val="20"/>
          <w:u w:val="none"/>
          <w:shd w:fill="auto" w:val="clear"/>
          <w:vertAlign w:val="baseline"/>
        </w:rPr>
      </w:r>
    </w:p>
    <w:p>
      <w:pPr>
        <w:pStyle w:val="normal1"/>
        <w:keepNext w:val="false"/>
        <w:keepLines w:val="false"/>
        <w:pageBreakBefore w:val="false"/>
        <w:widowControl w:val="false"/>
        <w:pBdr/>
        <w:shd w:val="clear" w:fill="auto"/>
        <w:tabs>
          <w:tab w:val="clear" w:pos="720"/>
          <w:tab w:val="left" w:pos="3660" w:leader="none"/>
        </w:tabs>
        <w:spacing w:lineRule="auto" w:line="276" w:before="0" w:after="140"/>
        <w:ind w:hanging="0" w:start="426" w:end="160"/>
        <w:jc w:val="start"/>
        <w:rPr>
          <w:rFonts w:ascii="Garamond" w:hAnsi="Garamond" w:eastAsia="Garamond" w:cs="Garamond"/>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b w:val="false"/>
          <w:bCs w:val="false"/>
          <w:i w:val="false"/>
          <w:iCs w:val="false"/>
          <w:caps w:val="false"/>
          <w:smallCaps w:val="false"/>
          <w:strike w:val="false"/>
          <w:dstrike w:val="false"/>
          <w:color w:val="000000"/>
          <w:position w:val="0"/>
          <w:sz w:val="24"/>
          <w:szCs w:val="24"/>
          <w:u w:val="none"/>
          <w:shd w:fill="auto" w:val="clear"/>
          <w:vertAlign w:val="baseline"/>
        </w:rPr>
        <w:t xml:space="preserve">Data </w:t>
      </w:r>
      <w:r>
        <w:rPr>
          <w:rFonts w:eastAsia="Garamond" w:cs="Garamond" w:ascii="Garamond" w:hAnsi="Garamond"/>
          <w:b w:val="false"/>
          <w:bCs w:val="false"/>
          <w:i w:val="false"/>
          <w:iCs w:val="false"/>
          <w:caps w:val="false"/>
          <w:smallCaps w:val="false"/>
          <w:strike w:val="false"/>
          <w:dstrike w:val="false"/>
          <w:color w:val="000000"/>
          <w:position w:val="0"/>
          <w:sz w:val="24"/>
          <w:szCs w:val="24"/>
          <w:u w:val="single"/>
          <w:shd w:fill="auto" w:val="clear"/>
          <w:vertAlign w:val="baseline"/>
        </w:rPr>
        <w:tab/>
      </w:r>
    </w:p>
    <w:p>
      <w:pPr>
        <w:pStyle w:val="normal1"/>
        <w:spacing w:lineRule="auto" w:line="240"/>
        <w:jc w:val="both"/>
        <w:rPr>
          <w:rFonts w:ascii="Garamond" w:hAnsi="Garamond" w:eastAsia="Garamond" w:cs="Garamond"/>
        </w:rPr>
      </w:pPr>
      <w:r>
        <w:rPr>
          <w:rFonts w:eastAsia="Garamond" w:cs="Garamond" w:ascii="Garamond" w:hAnsi="Garamond"/>
        </w:rPr>
        <w:tab/>
        <w:tab/>
        <w:tab/>
        <w:tab/>
      </w:r>
    </w:p>
    <w:p>
      <w:pPr>
        <w:pStyle w:val="normal1"/>
        <w:spacing w:lineRule="auto" w:line="240"/>
        <w:jc w:val="both"/>
        <w:rPr>
          <w:rFonts w:ascii="Garamond" w:hAnsi="Garamond" w:eastAsia="Garamond" w:cs="Garamond"/>
          <w:b/>
          <w:bCs/>
        </w:rPr>
      </w:pPr>
      <w:r>
        <w:rPr>
          <w:rFonts w:eastAsia="Garamond" w:cs="Garamond" w:ascii="Garamond" w:hAnsi="Garamond"/>
          <w:b/>
          <w:bCs/>
        </w:rPr>
        <w:t xml:space="preserve">             </w:t>
      </w:r>
      <w:r>
        <w:rPr>
          <w:rFonts w:eastAsia="Garamond" w:cs="Garamond" w:ascii="Garamond" w:hAnsi="Garamond"/>
          <w:b/>
          <w:bCs/>
        </w:rPr>
        <w:t>IL DIRETTORE GENERALE</w:t>
        <w:tab/>
        <w:tab/>
        <w:tab/>
        <w:tab/>
        <w:t xml:space="preserve">IL LEGALE       </w:t>
        <w:tab/>
        <w:tab/>
        <w:tab/>
        <w:tab/>
        <w:tab/>
        <w:tab/>
        <w:tab/>
        <w:tab/>
        <w:tab/>
        <w:tab/>
        <w:t xml:space="preserve">RAPPRESENTANTE </w:t>
      </w:r>
    </w:p>
    <w:p>
      <w:pPr>
        <w:pStyle w:val="normal1"/>
        <w:spacing w:lineRule="auto" w:line="240"/>
        <w:jc w:val="both"/>
        <w:rPr>
          <w:rFonts w:ascii="Garamond" w:hAnsi="Garamond" w:eastAsia="Garamond" w:cs="Garamond"/>
        </w:rPr>
      </w:pPr>
      <w:r>
        <w:rPr>
          <w:rFonts w:eastAsia="Garamond" w:cs="Garamond" w:ascii="Garamond" w:hAnsi="Garamond"/>
        </w:rPr>
        <w:t xml:space="preserve">      </w:t>
      </w:r>
      <w:r>
        <w:rPr>
          <w:rFonts w:eastAsia="Garamond" w:cs="Garamond" w:ascii="Garamond" w:hAnsi="Garamond"/>
        </w:rPr>
        <w:tab/>
        <w:t xml:space="preserve">       Dr.ssa Maria Letizia Casani</w:t>
        <w:tab/>
        <w:tab/>
        <w:tab/>
        <w:tab/>
        <w:t>della struttura accreditata</w:t>
        <w:tab/>
      </w:r>
    </w:p>
    <w:p>
      <w:pPr>
        <w:pStyle w:val="normal1"/>
        <w:spacing w:lineRule="auto" w:line="240"/>
        <w:jc w:val="both"/>
        <w:rPr>
          <w:rFonts w:ascii="Garamond" w:hAnsi="Garamond" w:eastAsia="Garamond" w:cs="Garamond"/>
        </w:rPr>
      </w:pPr>
      <w:r>
        <w:rPr>
          <w:rFonts w:eastAsia="Garamond" w:cs="Garamond" w:ascii="Garamond" w:hAnsi="Garamond"/>
        </w:rPr>
        <w:tab/>
        <w:tab/>
        <w:t xml:space="preserve">   </w:t>
      </w:r>
      <w:r>
        <w:rPr>
          <w:rFonts w:eastAsia="Garamond" w:cs="Garamond" w:ascii="Garamond" w:hAnsi="Garamond"/>
          <w:b w:val="false"/>
          <w:bCs w:val="false"/>
          <w:i/>
          <w:iCs/>
          <w:sz w:val="22"/>
          <w:szCs w:val="22"/>
        </w:rPr>
        <w:t xml:space="preserve">(sottoscrizione digitale)                                             </w:t>
        <w:tab/>
        <w:t xml:space="preserve">                   (sottoscrizione digitale)</w:t>
      </w:r>
    </w:p>
    <w:p>
      <w:pPr>
        <w:pStyle w:val="normal1"/>
        <w:spacing w:lineRule="auto" w:line="240"/>
        <w:jc w:val="both"/>
        <w:rPr>
          <w:rFonts w:ascii="Garamond" w:hAnsi="Garamond" w:eastAsia="Garamond" w:cs="Garamond"/>
        </w:rPr>
      </w:pPr>
      <w:r>
        <w:rPr>
          <w:rFonts w:eastAsia="Garamond" w:cs="Garamond" w:ascii="Garamond" w:hAnsi="Garamond"/>
        </w:rPr>
        <w:tab/>
        <w:t xml:space="preserve">                                                                                                          </w:t>
      </w:r>
    </w:p>
    <w:sectPr>
      <w:footerReference w:type="even" r:id="rId2"/>
      <w:footerReference w:type="default" r:id="rId3"/>
      <w:type w:val="nextPage"/>
      <w:pgSz w:w="11906" w:h="16838"/>
      <w:pgMar w:left="1125" w:right="1110" w:gutter="0" w:header="0" w:top="1120" w:footer="567" w:bottom="1126"/>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characterSet="windows-1252"/>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characterSet="windows-1252"/>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Garamond">
    <w:charset w:val="00" w:characterSet="windows-1252"/>
    <w:family w:val="roman"/>
    <w:pitch w:val="variable"/>
    <w:embedRegular r:id="rId14" w:fontKey="{0E014A78-CABC-4EF0-12AC-5CD89AEFDE0E}"/>
    <w:embedBold r:id="rId15" w:fontKey="{0F014A78-CABC-4EF0-12AC-5CD89AEFDE0F}"/>
    <w:embedItalic r:id="rId16" w:fontKey="{10014A78-CABC-4EF0-12AC-5CD89AEFDE10}"/>
  </w:font>
  <w:font w:name="Liberation Sans">
    <w:altName w:val="Arial"/>
    <w:charset w:val="00" w:characterSet="windows-1252"/>
    <w:family w:val="swiss"/>
    <w:pitch w:val="variable"/>
    <w:embedRegular r:id="rId17" w:fontKey="{11014A78-CABC-4EF0-12AC-5CD89AEFDE11}"/>
    <w:embedBold r:id="rId18" w:fontKey="{12014A78-CABC-4EF0-12AC-5CD89AEFDE12}"/>
    <w:embedItalic r:id="rId19" w:fontKey="{13014A78-CABC-4EF0-12AC-5CD89AEFDE13}"/>
    <w:embedBoldItalic r:id="rId20" w:fontKey="{14014A78-CABC-4EF0-12AC-5CD89AEFDE14}"/>
  </w:font>
  <w:font w:name="Georgia">
    <w:charset w:val="00" w:characterSet="windows-1252"/>
    <w:family w:val="roman"/>
    <w:pitch w:val="variable"/>
    <w:embedRegular r:id="rId21" w:fontKey="{15014A78-CABC-4EF0-12AC-5CD89AEFDE15}"/>
    <w:embedBold r:id="rId22" w:fontKey="{16014A78-CABC-4EF0-12AC-5CD89AEFDE16}"/>
    <w:embedItalic r:id="rId23" w:fontKey="{17014A78-CABC-4EF0-12AC-5CD89AEFDE17}"/>
    <w:embedBoldItalic r:id="rId24" w:fontKey="{18014A78-CABC-4EF0-12AC-5CD89AEFDE18}"/>
  </w:font>
  <w:font w:name="Symbol">
    <w:charset w:val="02"/>
    <w:family w:val="auto"/>
    <w:pitch w:val="default"/>
    <w:embedRegular r:id="rId25" w:fontKey="{19014A78-CABC-4EF0-12AC-5CD89AEFDE19}"/>
  </w:font>
  <w:font w:name="Wingdings">
    <w:charset w:val="02"/>
    <w:family w:val="auto"/>
    <w:pitch w:val="default"/>
    <w:embedRegular r:id="rId26" w:fontKey="{1A014A78-CABC-4EF0-12AC-5CD89AEFDE1A}"/>
    <w:embedBold r:id="rId27" w:fontKey="{1B014A78-CABC-4EF0-12AC-5CD89AEFDE1B}"/>
  </w:font>
  <w:font w:name="0">
    <w:charset w:val="01"/>
    <w:family w:val="auto"/>
    <w:pitch w:val="default"/>
  </w:font>
  <w:font w:name="OpenSymbol">
    <w:altName w:val="Arial Unicode MS"/>
    <w:charset w:val="01"/>
    <w:family w:val="auto"/>
    <w:pitch w:val="default"/>
    <w:embedRegular r:id="rId28" w:fontKey="{1C014A78-CABC-4EF0-12AC-5CD89AEFDE1C}"/>
    <w:embedBold r:id="rId29" w:fontKey="{1D014A78-CABC-4EF0-12AC-5CD89AEFDE1D}"/>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500" w:leader="none"/>
        <w:tab w:val="right" w:pos="9000" w:leader="none"/>
      </w:tabs>
      <w:spacing w:lineRule="auto" w:line="240" w:before="0" w:after="0"/>
      <w:ind w:hanging="0" w:start="0" w:end="0"/>
      <w:jc w:val="start"/>
      <w:rPr>
        <w:rFonts w:ascii="Liberation Serif" w:hAnsi="Liberation Serif" w:eastAsia="Liberation Serif" w:cs="Liberation Serif"/>
        <w:b w:val="false"/>
        <w:bCs w:val="false"/>
        <w:i w:val="false"/>
        <w:iCs w:val="false"/>
        <w:caps w:val="false"/>
        <w:smallCaps w:val="false"/>
        <w:strike w:val="false"/>
        <w:dstrike w:val="false"/>
        <w:color w:val="000000"/>
        <w:position w:val="0"/>
        <w:sz w:val="24"/>
        <w:szCs w:val="24"/>
        <w:u w:val="none"/>
        <w:shd w:fill="auto" w:val="clear"/>
        <w:vertAlign w:val="baseline"/>
      </w:rPr>
    </w:pPr>
    <w:bookmarkStart w:id="0" w:name="uxaz6tq7rd68"/>
    <w:bookmarkEnd w:id="0"/>
    <w:r>
      <w:rPr>
        <w:rFonts w:eastAsia="Garamond" w:cs="Garamond" w:ascii="Garamond" w:hAnsi="Garamond"/>
      </w:rPr>
      <w:fldChar w:fldCharType="begin"/>
    </w:r>
    <w:r>
      <w:rPr>
        <w:rFonts w:eastAsia="Garamond" w:cs="Garamond" w:ascii="Garamond" w:hAnsi="Garamond"/>
      </w:rPr>
      <w:instrText xml:space="preserve"> PAGE </w:instrText>
    </w:r>
    <w:r>
      <w:rPr>
        <w:rFonts w:eastAsia="Garamond" w:cs="Garamond" w:ascii="Garamond" w:hAnsi="Garamond"/>
      </w:rPr>
      <w:fldChar w:fldCharType="separate"/>
    </w:r>
    <w:r>
      <w:rPr>
        <w:rFonts w:eastAsia="Garamond" w:cs="Garamond" w:ascii="Garamond" w:hAnsi="Garamond"/>
      </w:rPr>
      <w:t>14</w:t>
    </w:r>
    <w:r>
      <w:rPr>
        <w:rFonts w:eastAsia="Garamond" w:cs="Garamond" w:ascii="Garamond" w:hAnsi="Garamond"/>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1"/>
      <w:keepNext w:val="false"/>
      <w:keepLines w:val="false"/>
      <w:pageBreakBefore w:val="false"/>
      <w:widowControl w:val="false"/>
      <w:pBdr/>
      <w:shd w:val="clear" w:fill="auto"/>
      <w:tabs>
        <w:tab w:val="clear" w:pos="720"/>
        <w:tab w:val="center" w:pos="4500" w:leader="none"/>
        <w:tab w:val="right" w:pos="9000" w:leader="none"/>
      </w:tabs>
      <w:spacing w:lineRule="auto" w:line="240" w:before="0" w:after="0"/>
      <w:ind w:hanging="0" w:start="0" w:end="0"/>
      <w:jc w:val="end"/>
      <w:rPr>
        <w:rFonts w:ascii="Liberation Serif" w:hAnsi="Liberation Serif" w:eastAsia="Liberation Serif" w:cs="Liberation Serif"/>
        <w:b w:val="false"/>
        <w:bCs w:val="false"/>
        <w:i w:val="false"/>
        <w:iCs w:val="false"/>
        <w:caps w:val="false"/>
        <w:smallCaps w:val="false"/>
        <w:strike w:val="false"/>
        <w:dstrike w:val="false"/>
        <w:color w:val="000000"/>
        <w:position w:val="0"/>
        <w:sz w:val="24"/>
        <w:szCs w:val="24"/>
        <w:u w:val="none"/>
        <w:shd w:fill="auto" w:val="clear"/>
        <w:vertAlign w:val="baseline"/>
      </w:rPr>
    </w:pPr>
    <w:r>
      <w:rPr>
        <w:rFonts w:eastAsia="Garamond" w:cs="Garamond" w:ascii="Garamond" w:hAnsi="Garamond"/>
      </w:rPr>
      <w:fldChar w:fldCharType="begin"/>
    </w:r>
    <w:r>
      <w:rPr>
        <w:rFonts w:eastAsia="Garamond" w:cs="Garamond" w:ascii="Garamond" w:hAnsi="Garamond"/>
      </w:rPr>
      <w:instrText xml:space="preserve"> PAGE </w:instrText>
    </w:r>
    <w:r>
      <w:rPr>
        <w:rFonts w:eastAsia="Garamond" w:cs="Garamond" w:ascii="Garamond" w:hAnsi="Garamond"/>
      </w:rPr>
      <w:fldChar w:fldCharType="separate"/>
    </w:r>
    <w:r>
      <w:rPr>
        <w:rFonts w:eastAsia="Garamond" w:cs="Garamond" w:ascii="Garamond" w:hAnsi="Garamond"/>
      </w:rPr>
      <w:t>15</w:t>
    </w:r>
    <w:r>
      <w:rPr>
        <w:rFonts w:eastAsia="Garamond" w:cs="Garamond" w:ascii="Garamond" w:hAnsi="Garamond"/>
      </w:rPr>
      <w:fldChar w:fldCharType="end"/>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0"/>
        </w:tabs>
        <w:ind w:start="1146" w:hanging="360"/>
      </w:pPr>
      <w:rPr>
        <w:rFonts w:ascii="Symbol" w:hAnsi="Symbol" w:cs="Symbol" w:hint="default"/>
      </w:rPr>
    </w:lvl>
    <w:lvl w:ilvl="1">
      <w:start w:val="1"/>
      <w:numFmt w:val="bullet"/>
      <w:lvlText w:val=""/>
      <w:lvlJc w:val="start"/>
      <w:pPr>
        <w:tabs>
          <w:tab w:val="num" w:pos="0"/>
        </w:tabs>
        <w:ind w:start="1506" w:hanging="360"/>
      </w:pPr>
      <w:rPr>
        <w:rFonts w:ascii="Symbol" w:hAnsi="Symbol" w:cs="Symbol" w:hint="default"/>
      </w:rPr>
    </w:lvl>
    <w:lvl w:ilvl="2">
      <w:start w:val="1"/>
      <w:numFmt w:val="bullet"/>
      <w:lvlText w:val=""/>
      <w:lvlJc w:val="start"/>
      <w:pPr>
        <w:tabs>
          <w:tab w:val="num" w:pos="0"/>
        </w:tabs>
        <w:ind w:start="1866" w:hanging="360"/>
      </w:pPr>
      <w:rPr>
        <w:rFonts w:ascii="Symbol" w:hAnsi="Symbol" w:cs="Symbol" w:hint="default"/>
      </w:rPr>
    </w:lvl>
    <w:lvl w:ilvl="3">
      <w:start w:val="1"/>
      <w:numFmt w:val="bullet"/>
      <w:lvlText w:val=""/>
      <w:lvlJc w:val="start"/>
      <w:pPr>
        <w:tabs>
          <w:tab w:val="num" w:pos="0"/>
        </w:tabs>
        <w:ind w:start="2226" w:hanging="360"/>
      </w:pPr>
      <w:rPr>
        <w:rFonts w:ascii="Symbol" w:hAnsi="Symbol" w:cs="Symbol" w:hint="default"/>
      </w:rPr>
    </w:lvl>
    <w:lvl w:ilvl="4">
      <w:start w:val="1"/>
      <w:numFmt w:val="bullet"/>
      <w:lvlText w:val=""/>
      <w:lvlJc w:val="start"/>
      <w:pPr>
        <w:tabs>
          <w:tab w:val="num" w:pos="0"/>
        </w:tabs>
        <w:ind w:start="2586" w:hanging="360"/>
      </w:pPr>
      <w:rPr>
        <w:rFonts w:ascii="Symbol" w:hAnsi="Symbol" w:cs="Symbol" w:hint="default"/>
      </w:rPr>
    </w:lvl>
    <w:lvl w:ilvl="5">
      <w:start w:val="1"/>
      <w:numFmt w:val="bullet"/>
      <w:lvlText w:val=""/>
      <w:lvlJc w:val="start"/>
      <w:pPr>
        <w:tabs>
          <w:tab w:val="num" w:pos="0"/>
        </w:tabs>
        <w:ind w:start="2946" w:hanging="360"/>
      </w:pPr>
      <w:rPr>
        <w:rFonts w:ascii="Symbol" w:hAnsi="Symbol" w:cs="Symbol" w:hint="default"/>
      </w:rPr>
    </w:lvl>
    <w:lvl w:ilvl="6">
      <w:start w:val="1"/>
      <w:numFmt w:val="bullet"/>
      <w:lvlText w:val=""/>
      <w:lvlJc w:val="start"/>
      <w:pPr>
        <w:tabs>
          <w:tab w:val="num" w:pos="0"/>
        </w:tabs>
        <w:ind w:start="3306" w:hanging="360"/>
      </w:pPr>
      <w:rPr>
        <w:rFonts w:ascii="Symbol" w:hAnsi="Symbol" w:cs="Symbol" w:hint="default"/>
      </w:rPr>
    </w:lvl>
    <w:lvl w:ilvl="7">
      <w:start w:val="1"/>
      <w:numFmt w:val="bullet"/>
      <w:lvlText w:val=""/>
      <w:lvlJc w:val="start"/>
      <w:pPr>
        <w:tabs>
          <w:tab w:val="num" w:pos="0"/>
        </w:tabs>
        <w:ind w:start="3666" w:hanging="360"/>
      </w:pPr>
      <w:rPr>
        <w:rFonts w:ascii="Symbol" w:hAnsi="Symbol" w:cs="Symbol" w:hint="default"/>
      </w:rPr>
    </w:lvl>
    <w:lvl w:ilvl="8">
      <w:start w:val="1"/>
      <w:numFmt w:val="bullet"/>
      <w:lvlText w:val=""/>
      <w:lvlJc w:val="start"/>
      <w:pPr>
        <w:tabs>
          <w:tab w:val="num" w:pos="0"/>
        </w:tabs>
        <w:ind w:start="4026" w:hanging="360"/>
      </w:pPr>
      <w:rPr>
        <w:rFonts w:ascii="Symbol" w:hAnsi="Symbol" w:cs="Symbol" w:hint="default"/>
      </w:rPr>
    </w:lvl>
  </w:abstractNum>
  <w:abstractNum w:abstractNumId="2">
    <w:lvl w:ilvl="0">
      <w:start w:val="1"/>
      <w:numFmt w:val="bullet"/>
      <w:lvlText w:val="l"/>
      <w:lvlJc w:val="start"/>
      <w:pPr>
        <w:tabs>
          <w:tab w:val="num" w:pos="0"/>
        </w:tabs>
        <w:ind w:start="1146" w:hanging="360"/>
      </w:pPr>
      <w:rPr>
        <w:rFonts w:ascii="Wingdings" w:hAnsi="Wingdings" w:cs="Wingdings" w:hint="default"/>
      </w:rPr>
    </w:lvl>
    <w:lvl w:ilvl="1">
      <w:start w:val="1"/>
      <w:numFmt w:val="bullet"/>
      <w:lvlText w:val="l"/>
      <w:lvlJc w:val="start"/>
      <w:pPr>
        <w:tabs>
          <w:tab w:val="num" w:pos="0"/>
        </w:tabs>
        <w:ind w:start="1506" w:hanging="360"/>
      </w:pPr>
      <w:rPr>
        <w:rFonts w:ascii="Wingdings" w:hAnsi="Wingdings" w:cs="Wingdings" w:hint="default"/>
      </w:rPr>
    </w:lvl>
    <w:lvl w:ilvl="2">
      <w:start w:val="1"/>
      <w:numFmt w:val="bullet"/>
      <w:lvlText w:val="l"/>
      <w:lvlJc w:val="start"/>
      <w:pPr>
        <w:tabs>
          <w:tab w:val="num" w:pos="0"/>
        </w:tabs>
        <w:ind w:start="1866" w:hanging="360"/>
      </w:pPr>
      <w:rPr>
        <w:rFonts w:ascii="Wingdings" w:hAnsi="Wingdings" w:cs="Wingdings" w:hint="default"/>
      </w:rPr>
    </w:lvl>
    <w:lvl w:ilvl="3">
      <w:start w:val="1"/>
      <w:numFmt w:val="bullet"/>
      <w:lvlText w:val="l"/>
      <w:lvlJc w:val="start"/>
      <w:pPr>
        <w:tabs>
          <w:tab w:val="num" w:pos="0"/>
        </w:tabs>
        <w:ind w:start="2226" w:hanging="360"/>
      </w:pPr>
      <w:rPr>
        <w:rFonts w:ascii="Wingdings" w:hAnsi="Wingdings" w:cs="Wingdings" w:hint="default"/>
      </w:rPr>
    </w:lvl>
    <w:lvl w:ilvl="4">
      <w:start w:val="1"/>
      <w:numFmt w:val="bullet"/>
      <w:lvlText w:val="l"/>
      <w:lvlJc w:val="start"/>
      <w:pPr>
        <w:tabs>
          <w:tab w:val="num" w:pos="0"/>
        </w:tabs>
        <w:ind w:start="2586" w:hanging="360"/>
      </w:pPr>
      <w:rPr>
        <w:rFonts w:ascii="Wingdings" w:hAnsi="Wingdings" w:cs="Wingdings" w:hint="default"/>
      </w:rPr>
    </w:lvl>
    <w:lvl w:ilvl="5">
      <w:start w:val="1"/>
      <w:numFmt w:val="bullet"/>
      <w:lvlText w:val="l"/>
      <w:lvlJc w:val="start"/>
      <w:pPr>
        <w:tabs>
          <w:tab w:val="num" w:pos="0"/>
        </w:tabs>
        <w:ind w:start="2946" w:hanging="360"/>
      </w:pPr>
      <w:rPr>
        <w:rFonts w:ascii="Wingdings" w:hAnsi="Wingdings" w:cs="Wingdings" w:hint="default"/>
      </w:rPr>
    </w:lvl>
    <w:lvl w:ilvl="6">
      <w:start w:val="1"/>
      <w:numFmt w:val="bullet"/>
      <w:lvlText w:val="l"/>
      <w:lvlJc w:val="start"/>
      <w:pPr>
        <w:tabs>
          <w:tab w:val="num" w:pos="0"/>
        </w:tabs>
        <w:ind w:start="3306" w:hanging="360"/>
      </w:pPr>
      <w:rPr>
        <w:rFonts w:ascii="Wingdings" w:hAnsi="Wingdings" w:cs="Wingdings" w:hint="default"/>
      </w:rPr>
    </w:lvl>
    <w:lvl w:ilvl="7">
      <w:start w:val="1"/>
      <w:numFmt w:val="bullet"/>
      <w:lvlText w:val="l"/>
      <w:lvlJc w:val="start"/>
      <w:pPr>
        <w:tabs>
          <w:tab w:val="num" w:pos="0"/>
        </w:tabs>
        <w:ind w:start="3666" w:hanging="360"/>
      </w:pPr>
      <w:rPr>
        <w:rFonts w:ascii="Wingdings" w:hAnsi="Wingdings" w:cs="Wingdings" w:hint="default"/>
      </w:rPr>
    </w:lvl>
    <w:lvl w:ilvl="8">
      <w:start w:val="1"/>
      <w:numFmt w:val="bullet"/>
      <w:lvlText w:val="l"/>
      <w:lvlJc w:val="start"/>
      <w:pPr>
        <w:tabs>
          <w:tab w:val="num" w:pos="0"/>
        </w:tabs>
        <w:ind w:start="4026" w:hanging="360"/>
      </w:pPr>
      <w:rPr>
        <w:rFonts w:ascii="Wingdings" w:hAnsi="Wingdings" w:cs="Wingdings" w:hint="default"/>
      </w:rPr>
    </w:lvl>
  </w:abstractNum>
  <w:abstractNum w:abstractNumId="3">
    <w:lvl w:ilvl="0">
      <w:start w:val="1"/>
      <w:numFmt w:val="decimal"/>
      <w:lvlText w:val=""/>
      <w:lvlJc w:val="start"/>
      <w:pPr>
        <w:tabs>
          <w:tab w:val="num" w:pos="0"/>
        </w:tabs>
        <w:ind w:start="0" w:hanging="0"/>
      </w:pPr>
      <w:rPr/>
    </w:lvl>
    <w:lvl w:ilvl="1">
      <w:start w:val="1"/>
      <w:numFmt w:val="decimal"/>
      <w:lvlText w:val=""/>
      <w:lvlJc w:val="start"/>
      <w:pPr>
        <w:tabs>
          <w:tab w:val="num" w:pos="0"/>
        </w:tabs>
        <w:ind w:start="0" w:hanging="0"/>
      </w:pPr>
      <w:rPr/>
    </w:lvl>
    <w:lvl w:ilvl="2">
      <w:start w:val="1"/>
      <w:numFmt w:val="decimal"/>
      <w:lvlText w:val=""/>
      <w:lvlJc w:val="start"/>
      <w:pPr>
        <w:tabs>
          <w:tab w:val="num" w:pos="0"/>
        </w:tabs>
        <w:ind w:start="0" w:hanging="0"/>
      </w:pPr>
      <w:rPr/>
    </w:lvl>
    <w:lvl w:ilvl="3">
      <w:start w:val="1"/>
      <w:numFmt w:val="decimal"/>
      <w:lvlText w:val=""/>
      <w:lvlJc w:val="start"/>
      <w:pPr>
        <w:tabs>
          <w:tab w:val="num" w:pos="0"/>
        </w:tabs>
        <w:ind w:start="0" w:hanging="0"/>
      </w:pPr>
      <w:rPr/>
    </w:lvl>
    <w:lvl w:ilvl="4">
      <w:start w:val="1"/>
      <w:numFmt w:val="decimal"/>
      <w:lvlText w:val=""/>
      <w:lvlJc w:val="start"/>
      <w:pPr>
        <w:tabs>
          <w:tab w:val="num" w:pos="0"/>
        </w:tabs>
        <w:ind w:start="0" w:hanging="0"/>
      </w:pPr>
      <w:rPr/>
    </w:lvl>
    <w:lvl w:ilvl="5">
      <w:start w:val="1"/>
      <w:numFmt w:val="decimal"/>
      <w:lvlText w:val=""/>
      <w:lvlJc w:val="start"/>
      <w:pPr>
        <w:tabs>
          <w:tab w:val="num" w:pos="0"/>
        </w:tabs>
        <w:ind w:start="0" w:hanging="0"/>
      </w:pPr>
      <w:rPr/>
    </w:lvl>
    <w:lvl w:ilvl="6">
      <w:start w:val="1"/>
      <w:numFmt w:val="decimal"/>
      <w:lvlText w:val=""/>
      <w:lvlJc w:val="start"/>
      <w:pPr>
        <w:tabs>
          <w:tab w:val="num" w:pos="0"/>
        </w:tabs>
        <w:ind w:start="0" w:hanging="0"/>
      </w:pPr>
      <w:rPr/>
    </w:lvl>
    <w:lvl w:ilvl="7">
      <w:start w:val="1"/>
      <w:numFmt w:val="decimal"/>
      <w:lvlText w:val=""/>
      <w:lvlJc w:val="start"/>
      <w:pPr>
        <w:tabs>
          <w:tab w:val="num" w:pos="0"/>
        </w:tabs>
        <w:ind w:start="0" w:hanging="0"/>
      </w:pPr>
      <w:rPr/>
    </w:lvl>
    <w:lvl w:ilvl="8">
      <w:start w:val="1"/>
      <w:numFmt w:val="decimal"/>
      <w:lvlText w:val=""/>
      <w:lvlJc w:val="start"/>
      <w:pPr>
        <w:tabs>
          <w:tab w:val="num" w:pos="0"/>
        </w:tabs>
        <w:ind w:start="0" w:hanging="0"/>
      </w:pPr>
      <w:rPr/>
    </w:lvl>
  </w:abstractNum>
  <w:abstractNum w:abstractNumId="4">
    <w:lvl w:ilvl="0">
      <w:start w:val="2"/>
      <w:numFmt w:val="decimal"/>
      <w:lvlText w:val="%1"/>
      <w:lvlJc w:val="start"/>
      <w:pPr>
        <w:tabs>
          <w:tab w:val="num" w:pos="0"/>
        </w:tabs>
        <w:ind w:start="146" w:hanging="340"/>
      </w:pPr>
      <w:rPr/>
    </w:lvl>
    <w:lvl w:ilvl="1">
      <w:start w:val="1"/>
      <w:numFmt w:val="decimal"/>
      <w:lvlText w:val="%1.%2"/>
      <w:lvlJc w:val="start"/>
      <w:pPr>
        <w:tabs>
          <w:tab w:val="num" w:pos="0"/>
        </w:tabs>
        <w:ind w:start="146" w:hanging="340"/>
      </w:pPr>
      <w:rPr>
        <w:rFonts w:ascii="Garamond" w:hAnsi="Garamond" w:eastAsia="Garamond" w:cs="Garamond"/>
        <w:b w:val="false"/>
        <w:bCs w:val="false"/>
        <w:i w:val="false"/>
        <w:iCs w:val="false"/>
        <w:sz w:val="24"/>
        <w:szCs w:val="24"/>
      </w:rPr>
    </w:lvl>
    <w:lvl w:ilvl="2">
      <w:start w:val="1"/>
      <w:numFmt w:val="bullet"/>
      <w:lvlText w:val="•"/>
      <w:lvlJc w:val="start"/>
      <w:pPr>
        <w:tabs>
          <w:tab w:val="num" w:pos="0"/>
        </w:tabs>
        <w:ind w:start="2010" w:hanging="340"/>
      </w:pPr>
      <w:rPr>
        <w:rFonts w:ascii="0" w:hAnsi="0" w:cs="0" w:hint="default"/>
      </w:rPr>
    </w:lvl>
    <w:lvl w:ilvl="3">
      <w:start w:val="1"/>
      <w:numFmt w:val="bullet"/>
      <w:lvlText w:val="•"/>
      <w:lvlJc w:val="start"/>
      <w:pPr>
        <w:tabs>
          <w:tab w:val="num" w:pos="0"/>
        </w:tabs>
        <w:ind w:start="2945" w:hanging="340"/>
      </w:pPr>
      <w:rPr>
        <w:rFonts w:ascii="0" w:hAnsi="0" w:cs="0" w:hint="default"/>
      </w:rPr>
    </w:lvl>
    <w:lvl w:ilvl="4">
      <w:start w:val="1"/>
      <w:numFmt w:val="bullet"/>
      <w:lvlText w:val="•"/>
      <w:lvlJc w:val="start"/>
      <w:pPr>
        <w:tabs>
          <w:tab w:val="num" w:pos="0"/>
        </w:tabs>
        <w:ind w:start="3880" w:hanging="340"/>
      </w:pPr>
      <w:rPr>
        <w:rFonts w:ascii="0" w:hAnsi="0" w:cs="0" w:hint="default"/>
      </w:rPr>
    </w:lvl>
    <w:lvl w:ilvl="5">
      <w:start w:val="1"/>
      <w:numFmt w:val="bullet"/>
      <w:lvlText w:val="•"/>
      <w:lvlJc w:val="start"/>
      <w:pPr>
        <w:tabs>
          <w:tab w:val="num" w:pos="0"/>
        </w:tabs>
        <w:ind w:start="4816" w:hanging="340"/>
      </w:pPr>
      <w:rPr>
        <w:rFonts w:ascii="0" w:hAnsi="0" w:cs="0" w:hint="default"/>
      </w:rPr>
    </w:lvl>
    <w:lvl w:ilvl="6">
      <w:start w:val="1"/>
      <w:numFmt w:val="bullet"/>
      <w:lvlText w:val="•"/>
      <w:lvlJc w:val="start"/>
      <w:pPr>
        <w:tabs>
          <w:tab w:val="num" w:pos="0"/>
        </w:tabs>
        <w:ind w:start="5751" w:hanging="340"/>
      </w:pPr>
      <w:rPr>
        <w:rFonts w:ascii="0" w:hAnsi="0" w:cs="0" w:hint="default"/>
      </w:rPr>
    </w:lvl>
    <w:lvl w:ilvl="7">
      <w:start w:val="1"/>
      <w:numFmt w:val="bullet"/>
      <w:lvlText w:val="•"/>
      <w:lvlJc w:val="start"/>
      <w:pPr>
        <w:tabs>
          <w:tab w:val="num" w:pos="0"/>
        </w:tabs>
        <w:ind w:start="6686" w:hanging="340"/>
      </w:pPr>
      <w:rPr>
        <w:rFonts w:ascii="0" w:hAnsi="0" w:cs="0" w:hint="default"/>
      </w:rPr>
    </w:lvl>
    <w:lvl w:ilvl="8">
      <w:start w:val="1"/>
      <w:numFmt w:val="bullet"/>
      <w:lvlText w:val="•"/>
      <w:lvlJc w:val="start"/>
      <w:pPr>
        <w:tabs>
          <w:tab w:val="num" w:pos="0"/>
        </w:tabs>
        <w:ind w:start="7621" w:hanging="340"/>
      </w:pPr>
      <w:rPr>
        <w:rFonts w:ascii="0" w:hAnsi="0" w:cs="0" w:hint="default"/>
      </w:rPr>
    </w:lvl>
  </w:abstractNum>
  <w:abstractNum w:abstractNumId="5">
    <w:lvl w:ilvl="0">
      <w:start w:val="1"/>
      <w:numFmt w:val="bullet"/>
      <w:lvlText w:val="·"/>
      <w:lvlJc w:val="start"/>
      <w:pPr>
        <w:tabs>
          <w:tab w:val="num" w:pos="0"/>
        </w:tabs>
        <w:ind w:start="866" w:hanging="1084"/>
      </w:pPr>
      <w:rPr>
        <w:rFonts w:ascii="0" w:hAnsi="0" w:cs="0" w:hint="default"/>
        <w:b w:val="false"/>
        <w:bCs w:val="false"/>
        <w:i w:val="false"/>
        <w:iCs w:val="false"/>
        <w:sz w:val="24"/>
        <w:szCs w:val="24"/>
      </w:rPr>
    </w:lvl>
    <w:lvl w:ilvl="1">
      <w:start w:val="1"/>
      <w:numFmt w:val="bullet"/>
      <w:lvlText w:val="•"/>
      <w:lvlJc w:val="start"/>
      <w:pPr>
        <w:tabs>
          <w:tab w:val="num" w:pos="0"/>
        </w:tabs>
        <w:ind w:start="1723" w:hanging="1084"/>
      </w:pPr>
      <w:rPr>
        <w:rFonts w:ascii="0" w:hAnsi="0" w:cs="0" w:hint="default"/>
      </w:rPr>
    </w:lvl>
    <w:lvl w:ilvl="2">
      <w:start w:val="1"/>
      <w:numFmt w:val="bullet"/>
      <w:lvlText w:val="•"/>
      <w:lvlJc w:val="start"/>
      <w:pPr>
        <w:tabs>
          <w:tab w:val="num" w:pos="0"/>
        </w:tabs>
        <w:ind w:start="2586" w:hanging="1084"/>
      </w:pPr>
      <w:rPr>
        <w:rFonts w:ascii="0" w:hAnsi="0" w:cs="0" w:hint="default"/>
      </w:rPr>
    </w:lvl>
    <w:lvl w:ilvl="3">
      <w:start w:val="1"/>
      <w:numFmt w:val="bullet"/>
      <w:lvlText w:val="•"/>
      <w:lvlJc w:val="start"/>
      <w:pPr>
        <w:tabs>
          <w:tab w:val="num" w:pos="0"/>
        </w:tabs>
        <w:ind w:start="3449" w:hanging="1084"/>
      </w:pPr>
      <w:rPr>
        <w:rFonts w:ascii="0" w:hAnsi="0" w:cs="0" w:hint="default"/>
      </w:rPr>
    </w:lvl>
    <w:lvl w:ilvl="4">
      <w:start w:val="1"/>
      <w:numFmt w:val="bullet"/>
      <w:lvlText w:val="•"/>
      <w:lvlJc w:val="start"/>
      <w:pPr>
        <w:tabs>
          <w:tab w:val="num" w:pos="0"/>
        </w:tabs>
        <w:ind w:start="4312" w:hanging="1084"/>
      </w:pPr>
      <w:rPr>
        <w:rFonts w:ascii="0" w:hAnsi="0" w:cs="0" w:hint="default"/>
      </w:rPr>
    </w:lvl>
    <w:lvl w:ilvl="5">
      <w:start w:val="1"/>
      <w:numFmt w:val="bullet"/>
      <w:lvlText w:val="•"/>
      <w:lvlJc w:val="start"/>
      <w:pPr>
        <w:tabs>
          <w:tab w:val="num" w:pos="0"/>
        </w:tabs>
        <w:ind w:start="5176" w:hanging="1084"/>
      </w:pPr>
      <w:rPr>
        <w:rFonts w:ascii="0" w:hAnsi="0" w:cs="0" w:hint="default"/>
      </w:rPr>
    </w:lvl>
    <w:lvl w:ilvl="6">
      <w:start w:val="1"/>
      <w:numFmt w:val="bullet"/>
      <w:lvlText w:val="•"/>
      <w:lvlJc w:val="start"/>
      <w:pPr>
        <w:tabs>
          <w:tab w:val="num" w:pos="0"/>
        </w:tabs>
        <w:ind w:start="6039" w:hanging="1084"/>
      </w:pPr>
      <w:rPr>
        <w:rFonts w:ascii="0" w:hAnsi="0" w:cs="0" w:hint="default"/>
      </w:rPr>
    </w:lvl>
    <w:lvl w:ilvl="7">
      <w:start w:val="1"/>
      <w:numFmt w:val="bullet"/>
      <w:lvlText w:val="•"/>
      <w:lvlJc w:val="start"/>
      <w:pPr>
        <w:tabs>
          <w:tab w:val="num" w:pos="0"/>
        </w:tabs>
        <w:ind w:start="6902" w:hanging="1084"/>
      </w:pPr>
      <w:rPr>
        <w:rFonts w:ascii="0" w:hAnsi="0" w:cs="0" w:hint="default"/>
      </w:rPr>
    </w:lvl>
    <w:lvl w:ilvl="8">
      <w:start w:val="1"/>
      <w:numFmt w:val="bullet"/>
      <w:lvlText w:val="•"/>
      <w:lvlJc w:val="start"/>
      <w:pPr>
        <w:tabs>
          <w:tab w:val="num" w:pos="0"/>
        </w:tabs>
        <w:ind w:start="7765" w:hanging="1084"/>
      </w:pPr>
      <w:rPr>
        <w:rFonts w:ascii="0" w:hAnsi="0" w:cs="0" w:hint="default"/>
      </w:rPr>
    </w:lvl>
  </w:abstractNum>
  <w:abstractNum w:abstractNumId="6">
    <w:lvl w:ilvl="0">
      <w:start w:val="1"/>
      <w:numFmt w:val="bullet"/>
      <w:lvlText w:val=""/>
      <w:lvlJc w:val="start"/>
      <w:pPr>
        <w:tabs>
          <w:tab w:val="num" w:pos="0"/>
        </w:tabs>
        <w:ind w:start="1146" w:hanging="360"/>
      </w:pPr>
      <w:rPr>
        <w:rFonts w:ascii="Symbol" w:hAnsi="Symbol" w:cs="Symbol" w:hint="default"/>
      </w:rPr>
    </w:lvl>
    <w:lvl w:ilvl="1">
      <w:start w:val="1"/>
      <w:numFmt w:val="bullet"/>
      <w:lvlText w:val=""/>
      <w:lvlJc w:val="start"/>
      <w:pPr>
        <w:tabs>
          <w:tab w:val="num" w:pos="0"/>
        </w:tabs>
        <w:ind w:start="1506" w:hanging="360"/>
      </w:pPr>
      <w:rPr>
        <w:rFonts w:ascii="Symbol" w:hAnsi="Symbol" w:cs="Symbol" w:hint="default"/>
      </w:rPr>
    </w:lvl>
    <w:lvl w:ilvl="2">
      <w:start w:val="1"/>
      <w:numFmt w:val="bullet"/>
      <w:lvlText w:val=""/>
      <w:lvlJc w:val="start"/>
      <w:pPr>
        <w:tabs>
          <w:tab w:val="num" w:pos="0"/>
        </w:tabs>
        <w:ind w:start="1866" w:hanging="360"/>
      </w:pPr>
      <w:rPr>
        <w:rFonts w:ascii="Symbol" w:hAnsi="Symbol" w:cs="Symbol" w:hint="default"/>
      </w:rPr>
    </w:lvl>
    <w:lvl w:ilvl="3">
      <w:start w:val="1"/>
      <w:numFmt w:val="bullet"/>
      <w:lvlText w:val=""/>
      <w:lvlJc w:val="start"/>
      <w:pPr>
        <w:tabs>
          <w:tab w:val="num" w:pos="0"/>
        </w:tabs>
        <w:ind w:start="2226" w:hanging="360"/>
      </w:pPr>
      <w:rPr>
        <w:rFonts w:ascii="Symbol" w:hAnsi="Symbol" w:cs="Symbol" w:hint="default"/>
      </w:rPr>
    </w:lvl>
    <w:lvl w:ilvl="4">
      <w:start w:val="1"/>
      <w:numFmt w:val="bullet"/>
      <w:lvlText w:val=""/>
      <w:lvlJc w:val="start"/>
      <w:pPr>
        <w:tabs>
          <w:tab w:val="num" w:pos="0"/>
        </w:tabs>
        <w:ind w:start="2586" w:hanging="360"/>
      </w:pPr>
      <w:rPr>
        <w:rFonts w:ascii="Symbol" w:hAnsi="Symbol" w:cs="Symbol" w:hint="default"/>
      </w:rPr>
    </w:lvl>
    <w:lvl w:ilvl="5">
      <w:start w:val="1"/>
      <w:numFmt w:val="bullet"/>
      <w:lvlText w:val=""/>
      <w:lvlJc w:val="start"/>
      <w:pPr>
        <w:tabs>
          <w:tab w:val="num" w:pos="0"/>
        </w:tabs>
        <w:ind w:start="2946" w:hanging="360"/>
      </w:pPr>
      <w:rPr>
        <w:rFonts w:ascii="Symbol" w:hAnsi="Symbol" w:cs="Symbol" w:hint="default"/>
      </w:rPr>
    </w:lvl>
    <w:lvl w:ilvl="6">
      <w:start w:val="1"/>
      <w:numFmt w:val="bullet"/>
      <w:lvlText w:val=""/>
      <w:lvlJc w:val="start"/>
      <w:pPr>
        <w:tabs>
          <w:tab w:val="num" w:pos="0"/>
        </w:tabs>
        <w:ind w:start="3306" w:hanging="360"/>
      </w:pPr>
      <w:rPr>
        <w:rFonts w:ascii="Symbol" w:hAnsi="Symbol" w:cs="Symbol" w:hint="default"/>
      </w:rPr>
    </w:lvl>
    <w:lvl w:ilvl="7">
      <w:start w:val="1"/>
      <w:numFmt w:val="bullet"/>
      <w:lvlText w:val=""/>
      <w:lvlJc w:val="start"/>
      <w:pPr>
        <w:tabs>
          <w:tab w:val="num" w:pos="0"/>
        </w:tabs>
        <w:ind w:start="3666" w:hanging="360"/>
      </w:pPr>
      <w:rPr>
        <w:rFonts w:ascii="Symbol" w:hAnsi="Symbol" w:cs="Symbol" w:hint="default"/>
      </w:rPr>
    </w:lvl>
    <w:lvl w:ilvl="8">
      <w:start w:val="1"/>
      <w:numFmt w:val="bullet"/>
      <w:lvlText w:val=""/>
      <w:lvlJc w:val="start"/>
      <w:pPr>
        <w:tabs>
          <w:tab w:val="num" w:pos="0"/>
        </w:tabs>
        <w:ind w:start="4026" w:hanging="360"/>
      </w:pPr>
      <w:rPr>
        <w:rFonts w:ascii="Symbol" w:hAnsi="Symbol" w:cs="Symbol" w:hint="default"/>
      </w:rPr>
    </w:lvl>
  </w:abstractNum>
  <w:abstractNum w:abstractNumId="7">
    <w:lvl w:ilvl="0">
      <w:start w:val="1"/>
      <w:numFmt w:val="bullet"/>
      <w:lvlText w:val="-"/>
      <w:lvlJc w:val="start"/>
      <w:pPr>
        <w:tabs>
          <w:tab w:val="num" w:pos="0"/>
        </w:tabs>
        <w:ind w:start="456" w:hanging="148"/>
      </w:pPr>
      <w:rPr>
        <w:rFonts w:ascii="OpenSymbol" w:hAnsi="OpenSymbol" w:cs="OpenSymbol" w:hint="default"/>
        <w:b w:val="false"/>
        <w:bCs w:val="false"/>
        <w:i w:val="false"/>
        <w:iCs w:val="false"/>
        <w:sz w:val="24"/>
        <w:szCs w:val="24"/>
      </w:rPr>
    </w:lvl>
    <w:lvl w:ilvl="1">
      <w:start w:val="1"/>
      <w:numFmt w:val="bullet"/>
      <w:lvlText w:val="l"/>
      <w:lvlJc w:val="start"/>
      <w:pPr>
        <w:tabs>
          <w:tab w:val="num" w:pos="0"/>
        </w:tabs>
        <w:ind w:start="1450" w:hanging="148"/>
      </w:pPr>
      <w:rPr>
        <w:rFonts w:ascii="Wingdings" w:hAnsi="Wingdings" w:cs="Wingdings" w:hint="default"/>
      </w:rPr>
    </w:lvl>
    <w:lvl w:ilvl="2">
      <w:start w:val="1"/>
      <w:numFmt w:val="bullet"/>
      <w:lvlText w:val="l"/>
      <w:lvlJc w:val="start"/>
      <w:pPr>
        <w:tabs>
          <w:tab w:val="num" w:pos="0"/>
        </w:tabs>
        <w:ind w:start="2441" w:hanging="148"/>
      </w:pPr>
      <w:rPr>
        <w:rFonts w:ascii="Wingdings" w:hAnsi="Wingdings" w:cs="Wingdings" w:hint="default"/>
      </w:rPr>
    </w:lvl>
    <w:lvl w:ilvl="3">
      <w:start w:val="1"/>
      <w:numFmt w:val="bullet"/>
      <w:lvlText w:val="l"/>
      <w:lvlJc w:val="start"/>
      <w:pPr>
        <w:tabs>
          <w:tab w:val="num" w:pos="0"/>
        </w:tabs>
        <w:ind w:start="3431" w:hanging="148"/>
      </w:pPr>
      <w:rPr>
        <w:rFonts w:ascii="Wingdings" w:hAnsi="Wingdings" w:cs="Wingdings" w:hint="default"/>
      </w:rPr>
    </w:lvl>
    <w:lvl w:ilvl="4">
      <w:start w:val="1"/>
      <w:numFmt w:val="bullet"/>
      <w:lvlText w:val="l"/>
      <w:lvlJc w:val="start"/>
      <w:pPr>
        <w:tabs>
          <w:tab w:val="num" w:pos="0"/>
        </w:tabs>
        <w:ind w:start="4422" w:hanging="148"/>
      </w:pPr>
      <w:rPr>
        <w:rFonts w:ascii="Wingdings" w:hAnsi="Wingdings" w:cs="Wingdings" w:hint="default"/>
      </w:rPr>
    </w:lvl>
    <w:lvl w:ilvl="5">
      <w:start w:val="1"/>
      <w:numFmt w:val="bullet"/>
      <w:lvlText w:val="l"/>
      <w:lvlJc w:val="start"/>
      <w:pPr>
        <w:tabs>
          <w:tab w:val="num" w:pos="0"/>
        </w:tabs>
        <w:ind w:start="5412" w:hanging="148"/>
      </w:pPr>
      <w:rPr>
        <w:rFonts w:ascii="Wingdings" w:hAnsi="Wingdings" w:cs="Wingdings" w:hint="default"/>
      </w:rPr>
    </w:lvl>
    <w:lvl w:ilvl="6">
      <w:start w:val="1"/>
      <w:numFmt w:val="bullet"/>
      <w:lvlText w:val="l"/>
      <w:lvlJc w:val="start"/>
      <w:pPr>
        <w:tabs>
          <w:tab w:val="num" w:pos="0"/>
        </w:tabs>
        <w:ind w:start="6403" w:hanging="148"/>
      </w:pPr>
      <w:rPr>
        <w:rFonts w:ascii="Wingdings" w:hAnsi="Wingdings" w:cs="Wingdings" w:hint="default"/>
      </w:rPr>
    </w:lvl>
    <w:lvl w:ilvl="7">
      <w:start w:val="1"/>
      <w:numFmt w:val="bullet"/>
      <w:lvlText w:val="l"/>
      <w:lvlJc w:val="start"/>
      <w:pPr>
        <w:tabs>
          <w:tab w:val="num" w:pos="0"/>
        </w:tabs>
        <w:ind w:start="7393" w:hanging="148"/>
      </w:pPr>
      <w:rPr>
        <w:rFonts w:ascii="Wingdings" w:hAnsi="Wingdings" w:cs="Wingdings" w:hint="default"/>
      </w:rPr>
    </w:lvl>
    <w:lvl w:ilvl="8">
      <w:start w:val="1"/>
      <w:numFmt w:val="bullet"/>
      <w:lvlText w:val="l"/>
      <w:lvlJc w:val="start"/>
      <w:pPr>
        <w:tabs>
          <w:tab w:val="num" w:pos="0"/>
        </w:tabs>
        <w:ind w:start="8384" w:hanging="148"/>
      </w:pPr>
      <w:rPr>
        <w:rFonts w:ascii="Wingdings" w:hAnsi="Wingdings" w:cs="Wingdings" w:hint="default"/>
      </w:rPr>
    </w:lvl>
  </w:abstractNum>
  <w:abstractNum w:abstractNumId="8">
    <w:lvl w:ilvl="0">
      <w:start w:val="1"/>
      <w:numFmt w:val="bullet"/>
      <w:lvlText w:val=""/>
      <w:lvlJc w:val="start"/>
      <w:pPr>
        <w:tabs>
          <w:tab w:val="num" w:pos="0"/>
        </w:tabs>
        <w:ind w:start="1146" w:hanging="360"/>
      </w:pPr>
      <w:rPr>
        <w:rFonts w:ascii="Symbol" w:hAnsi="Symbol" w:cs="Symbol" w:hint="default"/>
      </w:rPr>
    </w:lvl>
    <w:lvl w:ilvl="1">
      <w:start w:val="1"/>
      <w:numFmt w:val="bullet"/>
      <w:lvlText w:val=""/>
      <w:lvlJc w:val="start"/>
      <w:pPr>
        <w:tabs>
          <w:tab w:val="num" w:pos="0"/>
        </w:tabs>
        <w:ind w:start="1506" w:hanging="360"/>
      </w:pPr>
      <w:rPr>
        <w:rFonts w:ascii="Symbol" w:hAnsi="Symbol" w:cs="Symbol" w:hint="default"/>
      </w:rPr>
    </w:lvl>
    <w:lvl w:ilvl="2">
      <w:start w:val="1"/>
      <w:numFmt w:val="bullet"/>
      <w:lvlText w:val=""/>
      <w:lvlJc w:val="start"/>
      <w:pPr>
        <w:tabs>
          <w:tab w:val="num" w:pos="0"/>
        </w:tabs>
        <w:ind w:start="1866" w:hanging="360"/>
      </w:pPr>
      <w:rPr>
        <w:rFonts w:ascii="Symbol" w:hAnsi="Symbol" w:cs="Symbol" w:hint="default"/>
      </w:rPr>
    </w:lvl>
    <w:lvl w:ilvl="3">
      <w:start w:val="1"/>
      <w:numFmt w:val="bullet"/>
      <w:lvlText w:val=""/>
      <w:lvlJc w:val="start"/>
      <w:pPr>
        <w:tabs>
          <w:tab w:val="num" w:pos="0"/>
        </w:tabs>
        <w:ind w:start="2226" w:hanging="360"/>
      </w:pPr>
      <w:rPr>
        <w:rFonts w:ascii="Symbol" w:hAnsi="Symbol" w:cs="Symbol" w:hint="default"/>
      </w:rPr>
    </w:lvl>
    <w:lvl w:ilvl="4">
      <w:start w:val="1"/>
      <w:numFmt w:val="bullet"/>
      <w:lvlText w:val=""/>
      <w:lvlJc w:val="start"/>
      <w:pPr>
        <w:tabs>
          <w:tab w:val="num" w:pos="0"/>
        </w:tabs>
        <w:ind w:start="2586" w:hanging="360"/>
      </w:pPr>
      <w:rPr>
        <w:rFonts w:ascii="Symbol" w:hAnsi="Symbol" w:cs="Symbol" w:hint="default"/>
      </w:rPr>
    </w:lvl>
    <w:lvl w:ilvl="5">
      <w:start w:val="1"/>
      <w:numFmt w:val="bullet"/>
      <w:lvlText w:val=""/>
      <w:lvlJc w:val="start"/>
      <w:pPr>
        <w:tabs>
          <w:tab w:val="num" w:pos="0"/>
        </w:tabs>
        <w:ind w:start="2946" w:hanging="360"/>
      </w:pPr>
      <w:rPr>
        <w:rFonts w:ascii="Symbol" w:hAnsi="Symbol" w:cs="Symbol" w:hint="default"/>
      </w:rPr>
    </w:lvl>
    <w:lvl w:ilvl="6">
      <w:start w:val="1"/>
      <w:numFmt w:val="bullet"/>
      <w:lvlText w:val=""/>
      <w:lvlJc w:val="start"/>
      <w:pPr>
        <w:tabs>
          <w:tab w:val="num" w:pos="0"/>
        </w:tabs>
        <w:ind w:start="3306" w:hanging="360"/>
      </w:pPr>
      <w:rPr>
        <w:rFonts w:ascii="Symbol" w:hAnsi="Symbol" w:cs="Symbol" w:hint="default"/>
      </w:rPr>
    </w:lvl>
    <w:lvl w:ilvl="7">
      <w:start w:val="1"/>
      <w:numFmt w:val="bullet"/>
      <w:lvlText w:val=""/>
      <w:lvlJc w:val="start"/>
      <w:pPr>
        <w:tabs>
          <w:tab w:val="num" w:pos="0"/>
        </w:tabs>
        <w:ind w:start="3666" w:hanging="360"/>
      </w:pPr>
      <w:rPr>
        <w:rFonts w:ascii="Symbol" w:hAnsi="Symbol" w:cs="Symbol" w:hint="default"/>
      </w:rPr>
    </w:lvl>
    <w:lvl w:ilvl="8">
      <w:start w:val="1"/>
      <w:numFmt w:val="bullet"/>
      <w:lvlText w:val=""/>
      <w:lvlJc w:val="start"/>
      <w:pPr>
        <w:tabs>
          <w:tab w:val="num" w:pos="0"/>
        </w:tabs>
        <w:ind w:start="4026" w:hanging="360"/>
      </w:pPr>
      <w:rPr>
        <w:rFonts w:ascii="Symbol" w:hAnsi="Symbol" w:cs="Symbol" w:hint="default"/>
      </w:rPr>
    </w:lvl>
  </w:abstractNum>
  <w:abstractNum w:abstractNumId="9">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numFmt w:val="none"/>
      <w:suff w:val="nothing"/>
      <w:lvlText w:val=""/>
      <w:lvlJc w:val="start"/>
      <w:pPr>
        <w:tabs>
          <w:tab w:val="num" w:pos="0"/>
        </w:tabs>
        <w:ind w:start="0" w:hanging="0"/>
      </w:pPr>
    </w:lvl>
    <w:lvl w:ilvl="4">
      <w:start w:val="1"/>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w="http://schemas.openxmlformats.org/wordprocessingml/2006/main">
  <w:zoom w:percent="100"/>
  <w:embedTrueTypeFonts/>
  <w:defaultTabStop w:val="720"/>
  <w:autoHyphenation w:val="true"/>
  <w:hyphenationZone w:val="0"/>
  <w:evenAndOddHeaders/>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erif" w:cs="Liberation Serif"/>
        <w:sz w:val="24"/>
        <w:szCs w:val="24"/>
        <w:lang w:val="it-IT" w:eastAsia="zh-CN" w:bidi="hi-IN"/>
      </w:rPr>
    </w:rPrDefault>
    <w:pPrDefault>
      <w:pPr>
        <w:suppressAutoHyphens w:val="true"/>
      </w:pPr>
    </w:pPrDefault>
  </w:docDefaults>
  <w:style w:type="paragraph" w:styleId="Normal">
    <w:name w:val="Normal"/>
    <w:qFormat/>
    <w:pPr>
      <w:widowControl w:val="false"/>
      <w:bidi w:val="0"/>
      <w:spacing w:before="0" w:after="0"/>
      <w:jc w:val="start"/>
    </w:pPr>
    <w:rPr>
      <w:rFonts w:ascii="Liberation Serif" w:hAnsi="Liberation Serif" w:eastAsia="Liberation Serif" w:cs="Liberation Serif"/>
      <w:color w:val="auto"/>
      <w:kern w:val="0"/>
      <w:sz w:val="24"/>
      <w:szCs w:val="24"/>
      <w:lang w:val="it-IT" w:eastAsia="zh-CN" w:bidi="hi-IN"/>
    </w:rPr>
  </w:style>
  <w:style w:type="paragraph" w:styleId="Heading1">
    <w:name w:val="heading 1"/>
    <w:basedOn w:val="normal1"/>
    <w:next w:val="normal1"/>
    <w:qFormat/>
    <w:pPr>
      <w:ind w:hanging="0" w:start="455" w:end="0"/>
    </w:pPr>
    <w:rPr>
      <w:rFonts w:ascii="Garamond" w:hAnsi="Garamond" w:eastAsia="Garamond" w:cs="Garamond"/>
      <w:b/>
      <w:bCs/>
      <w:sz w:val="24"/>
      <w:szCs w:val="24"/>
    </w:rPr>
  </w:style>
  <w:style w:type="paragraph" w:styleId="Heading2">
    <w:name w:val="heading 2"/>
    <w:basedOn w:val="normal1"/>
    <w:next w:val="normal1"/>
    <w:qFormat/>
    <w:pPr>
      <w:ind w:hanging="0" w:start="455" w:end="0"/>
    </w:pPr>
    <w:rPr>
      <w:rFonts w:ascii="Garamond" w:hAnsi="Garamond" w:eastAsia="Garamond" w:cs="Garamond"/>
      <w:b/>
      <w:bCs/>
      <w:sz w:val="24"/>
      <w:szCs w:val="24"/>
    </w:rPr>
  </w:style>
  <w:style w:type="paragraph" w:styleId="Heading3">
    <w:name w:val="heading 3"/>
    <w:basedOn w:val="normal1"/>
    <w:next w:val="normal1"/>
    <w:qFormat/>
    <w:pPr>
      <w:keepNext w:val="true"/>
      <w:keepLines/>
      <w:pageBreakBefore w:val="false"/>
      <w:spacing w:lineRule="auto" w:line="240" w:before="280" w:after="80"/>
    </w:pPr>
    <w:rPr>
      <w:b/>
      <w:bCs/>
      <w:sz w:val="28"/>
      <w:szCs w:val="28"/>
    </w:rPr>
  </w:style>
  <w:style w:type="paragraph" w:styleId="Heading4">
    <w:name w:val="heading 4"/>
    <w:basedOn w:val="normal1"/>
    <w:next w:val="normal1"/>
    <w:qFormat/>
    <w:pPr>
      <w:keepNext w:val="true"/>
      <w:keepLines/>
      <w:pageBreakBefore w:val="false"/>
      <w:spacing w:lineRule="auto" w:line="240" w:before="240" w:after="40"/>
    </w:pPr>
    <w:rPr>
      <w:b/>
      <w:bCs/>
      <w:sz w:val="24"/>
      <w:szCs w:val="24"/>
    </w:rPr>
  </w:style>
  <w:style w:type="paragraph" w:styleId="Heading5">
    <w:name w:val="heading 5"/>
    <w:basedOn w:val="normal1"/>
    <w:next w:val="normal1"/>
    <w:qFormat/>
    <w:pPr>
      <w:keepNext w:val="true"/>
      <w:keepLines/>
      <w:pageBreakBefore w:val="false"/>
      <w:spacing w:lineRule="auto" w:line="240" w:before="220" w:after="40"/>
    </w:pPr>
    <w:rPr>
      <w:b/>
      <w:bCs/>
      <w:sz w:val="22"/>
      <w:szCs w:val="22"/>
    </w:rPr>
  </w:style>
  <w:style w:type="paragraph" w:styleId="Heading6">
    <w:name w:val="heading 6"/>
    <w:basedOn w:val="normal1"/>
    <w:next w:val="normal1"/>
    <w:qFormat/>
    <w:pPr>
      <w:keepNext w:val="true"/>
      <w:keepLines/>
      <w:pageBreakBefore w:val="false"/>
      <w:spacing w:lineRule="auto" w:line="240" w:before="200" w:after="40"/>
    </w:pPr>
    <w:rPr>
      <w:b/>
      <w:bCs/>
      <w:sz w:val="20"/>
      <w:szCs w:val="20"/>
    </w:rPr>
  </w:style>
  <w:style w:type="paragraph" w:styleId="Titolo">
    <w:name w:val="Tito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ice">
    <w:name w:val="Indice"/>
    <w:basedOn w:val="Normal"/>
    <w:qFormat/>
    <w:pPr>
      <w:suppressLineNumbers/>
    </w:pPr>
    <w:rPr>
      <w:rFonts w:cs="Arial"/>
    </w:rPr>
  </w:style>
  <w:style w:type="paragraph" w:styleId="normal1" w:default="1">
    <w:name w:val="normal1"/>
    <w:qFormat/>
    <w:pPr>
      <w:widowControl w:val="false"/>
      <w:bidi w:val="0"/>
      <w:spacing w:before="0" w:after="0"/>
      <w:jc w:val="start"/>
    </w:pPr>
    <w:rPr>
      <w:rFonts w:ascii="Liberation Serif" w:hAnsi="Liberation Serif" w:eastAsia="Liberation Serif" w:cs="Liberation Serif"/>
      <w:color w:val="auto"/>
      <w:kern w:val="0"/>
      <w:sz w:val="24"/>
      <w:szCs w:val="24"/>
      <w:lang w:val="it-IT" w:eastAsia="zh-CN" w:bidi="hi-IN"/>
    </w:rPr>
  </w:style>
  <w:style w:type="paragraph" w:styleId="Title">
    <w:name w:val="Title"/>
    <w:basedOn w:val="normal1"/>
    <w:next w:val="normal1"/>
    <w:qFormat/>
    <w:pPr>
      <w:keepNext w:val="true"/>
      <w:keepLines/>
      <w:pageBreakBefore w:val="false"/>
      <w:spacing w:lineRule="auto" w:line="240" w:before="480" w:after="120"/>
    </w:pPr>
    <w:rPr>
      <w:b/>
      <w:bCs/>
      <w:sz w:val="72"/>
      <w:szCs w:val="72"/>
    </w:rPr>
  </w:style>
  <w:style w:type="paragraph" w:styleId="Subtitle">
    <w:name w:val="Subtitle"/>
    <w:basedOn w:val="normal1"/>
    <w:next w:val="normal1"/>
    <w:qFormat/>
    <w:pPr>
      <w:keepNext w:val="true"/>
      <w:keepLines/>
      <w:pageBreakBefore w:val="false"/>
      <w:spacing w:lineRule="auto" w:line="240" w:before="360" w:after="80"/>
    </w:pPr>
    <w:rPr>
      <w:rFonts w:ascii="Georgia" w:hAnsi="Georgia" w:eastAsia="Georgia" w:cs="Georgia"/>
      <w:i/>
      <w:iCs/>
      <w:color w:val="666666"/>
      <w:sz w:val="48"/>
      <w:szCs w:val="48"/>
    </w:rPr>
  </w:style>
  <w:style w:type="paragraph" w:styleId="Intestazioneepidipagina">
    <w:name w:val="Intestazione e piè di pagina"/>
    <w:basedOn w:val="Normal"/>
    <w:qFormat/>
    <w:pPr/>
    <w:rPr/>
  </w:style>
  <w:style w:type="paragraph" w:styleId="Footer">
    <w:name w:val="footer"/>
    <w:basedOn w:val="Intestazioneepidipagina"/>
    <w:pPr/>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footer" Target="footer1.xml"/><Relationship Id="rId3" Type="http://schemas.openxmlformats.org/officeDocument/2006/relationships/footer" Target="footer2.xml"/><Relationship Id="rId4" Type="http://schemas.openxmlformats.org/officeDocument/2006/relationships/numbering" Target="numbering.xm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Relationship Id="rId22" Type="http://schemas.openxmlformats.org/officeDocument/2006/relationships/font" Target="fonts/font22.odttf"/><Relationship Id="rId23" Type="http://schemas.openxmlformats.org/officeDocument/2006/relationships/font" Target="fonts/font23.odttf"/><Relationship Id="rId24" Type="http://schemas.openxmlformats.org/officeDocument/2006/relationships/font" Target="fonts/font24.odttf"/><Relationship Id="rId25" Type="http://schemas.openxmlformats.org/officeDocument/2006/relationships/font" Target="fonts/font25.odttf"/><Relationship Id="rId26" Type="http://schemas.openxmlformats.org/officeDocument/2006/relationships/font" Target="fonts/font26.odttf"/><Relationship Id="rId27" Type="http://schemas.openxmlformats.org/officeDocument/2006/relationships/font" Target="fonts/font27.odttf"/><Relationship Id="rId28" Type="http://schemas.openxmlformats.org/officeDocument/2006/relationships/font" Target="fonts/font28.odttf"/><Relationship Id="rId29" Type="http://schemas.openxmlformats.org/officeDocument/2006/relationships/font" Target="fonts/font29.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
  <TotalTime>0</TotalTime>
  <Application>LibreOffice/25.8.6.2$Windows_X86_64 LibreOffice_project/b4b39682cd9868fa725bc664aff94278d315bd04</Application>
  <AppVersion>15.0000</AppVersion>
  <Pages>2</Pages>
  <Words>5031</Words>
  <Characters>29857</Characters>
  <CharactersWithSpaces>35030</CharactersWithSpaces>
  <Paragraphs>164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it-IT</dc:language>
  <cp:lastModifiedBy/>
  <cp:revision>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ducer">
    <vt:lpwstr>iText 2.1.7 by 1T3XT</vt:lpwstr>
  </property>
</Properties>
</file>