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5"/>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Fondazione Pubblica Assistenza Rosignano Marittimo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Fondazione Pubblica Assistenza Rosignano Marittimo</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sede legale in Via Pel di Lupo, 35 Rosignano Marittimo (LI) (C.F. 92116990497/ P.I. 01744190495) di seguito denominata "Struttura", nella persona del legale rappresentante ___________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 xml:space="preserve">che la struttura è in possesso dell’autorizzazione all’esercizio delle attività sanitarie rilasciata dal Comune  di Rosignano Marittimo con provvedimento n. 2034/2018, n. 1263/2023, n. 2969/2023, n. 2560/24 e n. 2597/2024 ;                                                                                                                             </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di rinnovo n.3556 del 20/02/2024 per il processo riabilitazione nella disciplina di medicina fisica e riabilitazione e per il processo ambulatoriale nelle discipline di medicina del lavoro e sicurezza degli ambienti di lavoro, odontoiatria, radiodiagnostica, limitatamente all’attività di ecografia, medicina di laboratorio e reumatologia;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Fondazione Pubblica Assistenza Rosignano Marittimo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a Rosignano Marittimo, via Pel di Lupo n. 35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4"/>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 xml:space="preserve">ART. 23 – SPESE                                                                                                                                                 </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€ 96,00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22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jc w:val="both"/>
        <w:rPr/>
      </w:pPr>
      <w:r>
        <w:rPr>
          <w:b/>
          <w:bCs/>
          <w:sz w:val="24"/>
          <w:szCs w:val="24"/>
          <w:highlight w:val="yellow"/>
        </w:rPr>
        <w:t>Premessa:</w:t>
      </w:r>
    </w:p>
    <w:p>
      <w:pPr>
        <w:pStyle w:val="normal1"/>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jc w:val="both"/>
        <w:rPr/>
      </w:pPr>
      <w:r>
        <w:rPr/>
      </w:r>
    </w:p>
    <w:p>
      <w:pPr>
        <w:pStyle w:val="normal1"/>
        <w:jc w:val="both"/>
        <w:rPr/>
      </w:pPr>
      <w:r>
        <w:rPr/>
        <w:t>Il Modello Competitivo anno 2026 sarà strutturato nelle seguenti 3 modalità:</w:t>
      </w:r>
    </w:p>
    <w:p>
      <w:pPr>
        <w:pStyle w:val="normal1"/>
        <w:numPr>
          <w:ilvl w:val="0"/>
          <w:numId w:val="6"/>
        </w:numPr>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br w:type="page"/>
      </w:r>
    </w:p>
    <w:p>
      <w:pPr>
        <w:pStyle w:val="normal1"/>
        <w:spacing w:before="0" w:after="0"/>
        <w:jc w:val="both"/>
        <w:rPr>
          <w:b/>
          <w:bCs/>
          <w:sz w:val="24"/>
          <w:szCs w:val="24"/>
          <w:highlight w:val="yellow"/>
        </w:rPr>
      </w:pPr>
      <w:r>
        <w:rPr>
          <w:b/>
          <w:bCs/>
          <w:sz w:val="24"/>
          <w:szCs w:val="24"/>
          <w:highlight w:val="yellow"/>
        </w:rPr>
      </w:r>
    </w:p>
    <w:p>
      <w:pPr>
        <w:pStyle w:val="normal1"/>
        <w:jc w:val="both"/>
        <w:rPr/>
      </w:pPr>
      <w:r>
        <w:rPr>
          <w:b/>
          <w:bCs/>
          <w:sz w:val="24"/>
          <w:szCs w:val="24"/>
          <w:highlight w:val="yellow"/>
        </w:rPr>
        <w:t>MC Standard – primo accesso</w:t>
      </w:r>
    </w:p>
    <w:p>
      <w:pPr>
        <w:pStyle w:val="normal1"/>
        <w:jc w:val="both"/>
        <w:rPr>
          <w:b/>
          <w:bCs/>
          <w:sz w:val="24"/>
          <w:szCs w:val="24"/>
          <w:highlight w:val="yellow"/>
        </w:rPr>
      </w:pPr>
      <w:r>
        <w:rPr>
          <w:b/>
          <w:bCs/>
          <w:sz w:val="24"/>
          <w:szCs w:val="24"/>
          <w:highlight w:val="yellow"/>
        </w:rPr>
      </w:r>
    </w:p>
    <w:p>
      <w:pPr>
        <w:pStyle w:val="normal1"/>
        <w:jc w:val="both"/>
        <w:rPr/>
      </w:pPr>
      <w:r>
        <w:rPr>
          <w:b/>
          <w:bCs/>
          <w:u w:val="single"/>
        </w:rPr>
        <w:t>Pubblicazione Contatori</w:t>
      </w:r>
    </w:p>
    <w:p>
      <w:pPr>
        <w:pStyle w:val="normal1"/>
        <w:jc w:val="both"/>
        <w:rPr/>
      </w:pPr>
      <w:r>
        <w:rPr/>
        <w:t>I volumi dei vari contatori saranno pubblicati su CUP 2.0 (o sua evoluzione CUP 3.0) in date certe e verranno condivisi tramite l’invio di apposita reportistica. Nello specifico, la pubblicazione avverrà:</w:t>
      </w:r>
    </w:p>
    <w:p>
      <w:pPr>
        <w:pStyle w:val="normal1"/>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jc w:val="both"/>
        <w:rPr/>
      </w:pPr>
      <w:r>
        <w:rPr/>
      </w:r>
    </w:p>
    <w:p>
      <w:pPr>
        <w:pStyle w:val="normal1"/>
        <w:jc w:val="both"/>
        <w:rPr/>
      </w:pPr>
      <w:r>
        <w:rPr>
          <w:b/>
          <w:bCs/>
          <w:u w:val="single"/>
        </w:rPr>
        <w:t>Dettaglio strutturazione agende</w:t>
      </w:r>
    </w:p>
    <w:p>
      <w:pPr>
        <w:pStyle w:val="normal1"/>
        <w:jc w:val="both"/>
        <w:rPr>
          <w:b/>
          <w:bCs/>
          <w:u w:val="single"/>
        </w:rPr>
      </w:pPr>
      <w:r>
        <w:rPr>
          <w:b/>
          <w:bCs/>
          <w:u w:val="single"/>
        </w:rPr>
      </w:r>
    </w:p>
    <w:p>
      <w:pPr>
        <w:pStyle w:val="normal1"/>
        <w:numPr>
          <w:ilvl w:val="0"/>
          <w:numId w:val="8"/>
        </w:numPr>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jc w:val="both"/>
        <w:rPr/>
      </w:pPr>
      <w:r>
        <w:rPr/>
      </w:r>
    </w:p>
    <w:p>
      <w:pPr>
        <w:pStyle w:val="normal1"/>
        <w:numPr>
          <w:ilvl w:val="0"/>
          <w:numId w:val="8"/>
        </w:numPr>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jc w:val="both"/>
        <w:rPr/>
      </w:pPr>
      <w:r>
        <w:rPr/>
      </w:r>
    </w:p>
    <w:p>
      <w:pPr>
        <w:pStyle w:val="normal1"/>
        <w:numPr>
          <w:ilvl w:val="0"/>
          <w:numId w:val="8"/>
        </w:numPr>
        <w:ind w:hanging="360" w:start="720"/>
        <w:jc w:val="both"/>
        <w:rPr/>
      </w:pPr>
      <w:r>
        <w:rPr>
          <w:b/>
          <w:bCs/>
        </w:rPr>
        <w:t xml:space="preserve">Prenotabilità del quadrimestre di offerta sulla base della profondità data dai tempi massimi della prestazione/priorità                                                                      </w:t>
      </w:r>
    </w:p>
    <w:p>
      <w:pPr>
        <w:pStyle w:val="normal1"/>
        <w:jc w:val="both"/>
        <w:rPr>
          <w:b/>
          <w:bCs/>
        </w:rPr>
      </w:pPr>
      <w:r>
        <w:rPr>
          <w:b/>
          <w:bCs/>
        </w:rPr>
      </w:r>
    </w:p>
    <w:p>
      <w:pPr>
        <w:pStyle w:val="normal1"/>
        <w:numPr>
          <w:ilvl w:val="0"/>
          <w:numId w:val="8"/>
        </w:numPr>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jc w:val="both"/>
        <w:rPr/>
      </w:pPr>
      <w:r>
        <w:rPr/>
      </w:r>
    </w:p>
    <w:p>
      <w:pPr>
        <w:pStyle w:val="normal1"/>
        <w:numPr>
          <w:ilvl w:val="0"/>
          <w:numId w:val="8"/>
        </w:numPr>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jc w:val="both"/>
        <w:rPr/>
      </w:pPr>
      <w:r>
        <w:rPr/>
      </w:r>
    </w:p>
    <w:p>
      <w:pPr>
        <w:pStyle w:val="normal1"/>
        <w:numPr>
          <w:ilvl w:val="0"/>
          <w:numId w:val="8"/>
        </w:numPr>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93"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7"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6"/>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1"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3"/>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24</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24</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7"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6"/>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1"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3"/>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24</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24</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22</Pages>
  <Words>6883</Words>
  <Characters>41184</Characters>
  <CharactersWithSpaces>49199</CharactersWithSpaces>
  <Paragraphs>283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