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6"/>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S.CHIARA srl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struttura </w:t>
      </w:r>
      <w:r>
        <w:rPr>
          <w:rFonts w:eastAsia="Garamond" w:cs="Garamond"/>
          <w:b/>
          <w:bCs/>
          <w:i w:val="false"/>
          <w:iCs w:val="false"/>
          <w:caps w:val="false"/>
          <w:smallCaps w:val="false"/>
          <w:strike w:val="false"/>
          <w:dstrike w:val="false"/>
          <w:color w:val="000000"/>
          <w:position w:val="0"/>
          <w:sz w:val="26"/>
          <w:szCs w:val="26"/>
          <w:u w:val="none"/>
          <w:shd w:fill="auto" w:val="clear"/>
          <w:vertAlign w:val="baseline"/>
        </w:rPr>
        <w:t>S.CHIARA srl</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sede legale in PIAZZA CRISTO RE 14 Alba (CN)  (C.F./ P.I. 01641520331) di seguito denominata "Struttura", nella persona del legale rappresentante 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highlight w:val="blue"/>
          <w:u w:val="none"/>
          <w:vertAlign w:val="baseline"/>
        </w:rPr>
      </w:pPr>
      <w:r>
        <w:rPr>
          <w:rFonts w:eastAsia="Garamond" w:cs="Garamond"/>
          <w:b/>
          <w:bCs/>
          <w:i w:val="false"/>
          <w:iCs w:val="false"/>
          <w:caps w:val="false"/>
          <w:smallCaps w:val="false"/>
          <w:strike w:val="false"/>
          <w:dstrike w:val="false"/>
          <w:color w:val="000000"/>
          <w:position w:val="0"/>
          <w:sz w:val="24"/>
          <w:szCs w:val="24"/>
          <w:highlight w:val="blue"/>
          <w:u w:val="none"/>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per  la Casa di Cura Barbantini di Lucca è in possesso dell’autorizzazione all’esercizio delle attività sanitarie rilasciata dal Comune di Lucca (LU) con provvedimento n. 16/2001, n. 161/2003, n. 72/2005, n. 34/2006, n. 102/2008, n. 220/2008, n. 151/2009, n 102/2010, n. 127/2011, n. 323/2014, n. 470/2015, n. 406/2018, n. 223/2019;</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per  la Casa di Cura Barbantini di Lucca è in possesso dell’accreditamento istituzionale rilasciato con Decreto dirigenziale della Regione Toscana – Direzione Diritti di Cittadinanza e Coesione sociale Decreto di rinnovo n. 21241 del 27/10/2022 processo ambulatoriale nelle discipline di cardiologia, reumatologia, oftalmologia, angiologia, chirurgia generale, ortopedia e traumatologia, urologia, radiodiagnostica, patologia clinica, endocrinologia;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per la Casa di Cura San Camillo di Forte dei Marmi è in possesso dell’autorizzazione all’esercizio delle attività sanitarie rilasciata dal Comune  di Forte dei Marmi (LU) con provvedimento n. 38415/2010, n. 1/2012, n. 3/2013, n. 1/2015, n. 03/2016;</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per la Casa di Cura San Camillo di Forte dei Marmi è in possesso dell’accreditamento istituzionale rilasciato con Decreto dirigenziale della Regione Toscana – Direzione Diritti di Cittadinanza e Coesione sociale Decreto di rinnovo n. 21247 del 27/10/22  per il processo ambulatoriale nelle discipline di patologia clinica, radiodiagnostica, chirurgia generale, cardiologia, ortopedia e traumatologia, oftalmologia, otorinolaringoiatria, medicina fisica e riabilitazione, chirurgia maxillo-facciale, chirurgia plastica e ricostruttiva,odontoiatria, dermatologia e venereologia, endocrinologia, gastroenterologia, geriatria, malattie metaboliche e diabetologia, nefrologia, neurologia, reumatologia scienza dell’alimentazione e dietetica e urologia;</w:t>
      </w:r>
    </w:p>
    <w:p>
      <w:pPr>
        <w:pStyle w:val="Heading1"/>
        <w:numPr>
          <w:ilvl w:val="0"/>
          <w:numId w:val="2"/>
        </w:numPr>
        <w:spacing w:lineRule="auto" w:line="360" w:before="64" w:after="57"/>
        <w:ind w:hanging="360" w:start="786" w:end="0"/>
        <w:jc w:val="both"/>
        <w:rPr/>
      </w:pPr>
      <w:r>
        <w:rPr>
          <w:b w:val="false"/>
          <w:bCs w:val="false"/>
          <w:sz w:val="24"/>
          <w:szCs w:val="24"/>
        </w:rPr>
        <w:t>che la struttura per il Centro Diagnostico FORTIS srl. è in possesso dell’autorizzazione all’esercizio delle attività sanitarie rilasciata dal Comune di Forte dei Marmi (LU) con provvedimento n. 1/2017;</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per per il Centro Diagnostico FORTIS srl. è in possesso dell’accreditamento istituzionale rilasciato con Decreto dirigenziale della Regione Toscana – Direzione Diritti di Cittadinanza e Coesione sociale Decreto di rinnovo n. 13963 del 12/07/2022 l processo ambulatoriale nelle disciplina di radiodiagnostica;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2.1 - In applicazione della deliberazione del Direttore Generale n. 951 del 10.09.2025 l’Azienda si avvale della struttura  </w:t>
      </w:r>
      <w:r>
        <w:rPr>
          <w:rFonts w:eastAsia="Garamond" w:cs="Garamond"/>
          <w:b w:val="false"/>
          <w:bCs w:val="false"/>
          <w:i w:val="false"/>
          <w:iCs w:val="false"/>
          <w:caps w:val="false"/>
          <w:smallCaps w:val="false"/>
          <w:strike w:val="false"/>
          <w:dstrike w:val="false"/>
          <w:color w:val="000000"/>
          <w:position w:val="0"/>
          <w:sz w:val="26"/>
          <w:szCs w:val="26"/>
          <w:u w:val="none"/>
          <w:shd w:fill="auto" w:val="clear"/>
          <w:vertAlign w:val="baseline"/>
        </w:rPr>
        <w:t>S.CHIARA srl</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le seguenti sedi come da autorizzazione ed atto di accreditamento di cui in premessa, nei limiti definiti dal presente Accordo contrattuale:</w:t>
      </w:r>
    </w:p>
    <w:p>
      <w:pPr>
        <w:pStyle w:val="normal1"/>
        <w:keepNext w:val="false"/>
        <w:keepLines w:val="false"/>
        <w:pageBreakBefore w:val="false"/>
        <w:widowControl w:val="false"/>
        <w:numPr>
          <w:ilvl w:val="0"/>
          <w:numId w:val="3"/>
        </w:numPr>
        <w:pBdr/>
        <w:shd w:val="clear" w:fill="auto"/>
        <w:tabs>
          <w:tab w:val="clear" w:pos="720"/>
          <w:tab w:val="left" w:pos="887" w:leader="none"/>
        </w:tabs>
        <w:spacing w:lineRule="auto" w:line="360" w:before="120" w:after="0"/>
        <w:ind w:hanging="360" w:start="1238"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Casa di cura MD Barbantini ubicata a Lucca in via del Calcio, 2,</w:t>
      </w:r>
    </w:p>
    <w:p>
      <w:pPr>
        <w:pStyle w:val="normal1"/>
        <w:keepNext w:val="false"/>
        <w:keepLines w:val="false"/>
        <w:pageBreakBefore w:val="false"/>
        <w:widowControl w:val="false"/>
        <w:numPr>
          <w:ilvl w:val="0"/>
          <w:numId w:val="3"/>
        </w:numPr>
        <w:pBdr/>
        <w:shd w:val="clear" w:fill="auto"/>
        <w:tabs>
          <w:tab w:val="clear" w:pos="720"/>
          <w:tab w:val="left" w:pos="887" w:leader="none"/>
        </w:tabs>
        <w:spacing w:lineRule="auto" w:line="360" w:before="120" w:after="0"/>
        <w:ind w:hanging="360" w:start="1238"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Casa di Cura San Camillo ubicata a Forte dei Marmi n via P.I. da Carrara n. 37, </w:t>
      </w:r>
    </w:p>
    <w:p>
      <w:pPr>
        <w:pStyle w:val="normal1"/>
        <w:keepNext w:val="false"/>
        <w:keepLines w:val="false"/>
        <w:pageBreakBefore w:val="false"/>
        <w:widowControl w:val="false"/>
        <w:numPr>
          <w:ilvl w:val="0"/>
          <w:numId w:val="3"/>
        </w:numPr>
        <w:pBdr/>
        <w:shd w:val="clear" w:fill="auto"/>
        <w:tabs>
          <w:tab w:val="clear" w:pos="720"/>
          <w:tab w:val="left" w:pos="887" w:leader="none"/>
        </w:tabs>
        <w:spacing w:lineRule="auto" w:line="360" w:before="120" w:after="0"/>
        <w:ind w:hanging="360" w:start="1238"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Centro Diagnostico FORTIS ubicato a Forte dei Marmi in Via Padre Ignazio da Carrara n. 39.</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2"/>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5"/>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5"/>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5"/>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6"/>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9"/>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9"/>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9"/>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9"/>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9"/>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9"/>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9"/>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9"/>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9"/>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                                   </w:t>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4"/>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€ 208,00 ed ogni altra eventuale sono a carico della struttura.</w:t>
      </w:r>
    </w:p>
    <w:p>
      <w:pPr>
        <w:pStyle w:val="Heading2"/>
        <w:numPr>
          <w:ilvl w:val="1"/>
          <w:numId w:val="1"/>
        </w:numPr>
        <w:spacing w:lineRule="auto" w:line="240" w:before="171" w:after="0"/>
        <w:ind w:hanging="0" w:start="426" w:end="160"/>
        <w:rPr/>
      </w:pPr>
      <w:r>
        <w:rPr/>
        <w:t xml:space="preserve">                 </w:t>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49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 Casa di Cura MD Barbantini di Lucca</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 Casa di Cura San Camillo Forte dei Marmi</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 FORTIS</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jc w:val="both"/>
        <w:rPr/>
      </w:pPr>
      <w:r>
        <w:rPr>
          <w:b/>
          <w:bCs/>
          <w:sz w:val="24"/>
          <w:szCs w:val="24"/>
          <w:highlight w:val="yellow"/>
        </w:rPr>
        <w:t>Premessa:</w:t>
      </w:r>
    </w:p>
    <w:p>
      <w:pPr>
        <w:pStyle w:val="normal1"/>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jc w:val="both"/>
        <w:rPr/>
      </w:pPr>
      <w:r>
        <w:rPr/>
      </w:r>
    </w:p>
    <w:p>
      <w:pPr>
        <w:pStyle w:val="normal1"/>
        <w:jc w:val="both"/>
        <w:rPr/>
      </w:pPr>
      <w:r>
        <w:rPr/>
        <w:t>Il Modello Competitivo anno 2026 sarà strutturato nelle seguenti 3 modalità:</w:t>
      </w:r>
    </w:p>
    <w:p>
      <w:pPr>
        <w:pStyle w:val="normal1"/>
        <w:numPr>
          <w:ilvl w:val="0"/>
          <w:numId w:val="7"/>
        </w:numPr>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7"/>
        </w:numPr>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7"/>
        </w:numPr>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br w:type="page"/>
      </w:r>
    </w:p>
    <w:p>
      <w:pPr>
        <w:pStyle w:val="normal1"/>
        <w:spacing w:before="0" w:after="0"/>
        <w:jc w:val="both"/>
        <w:rPr>
          <w:b/>
          <w:bCs/>
          <w:sz w:val="24"/>
          <w:szCs w:val="24"/>
          <w:highlight w:val="yellow"/>
        </w:rPr>
      </w:pPr>
      <w:r>
        <w:rPr>
          <w:b/>
          <w:bCs/>
          <w:sz w:val="24"/>
          <w:szCs w:val="24"/>
          <w:highlight w:val="yellow"/>
        </w:rPr>
      </w:r>
    </w:p>
    <w:p>
      <w:pPr>
        <w:pStyle w:val="normal1"/>
        <w:jc w:val="both"/>
        <w:rPr/>
      </w:pPr>
      <w:r>
        <w:rPr>
          <w:b/>
          <w:bCs/>
          <w:sz w:val="24"/>
          <w:szCs w:val="24"/>
          <w:highlight w:val="yellow"/>
        </w:rPr>
        <w:t>MC Standard – primo accesso</w:t>
      </w:r>
    </w:p>
    <w:p>
      <w:pPr>
        <w:pStyle w:val="normal1"/>
        <w:jc w:val="both"/>
        <w:rPr>
          <w:b/>
          <w:bCs/>
          <w:sz w:val="24"/>
          <w:szCs w:val="24"/>
          <w:highlight w:val="yellow"/>
        </w:rPr>
      </w:pPr>
      <w:r>
        <w:rPr>
          <w:b/>
          <w:bCs/>
          <w:sz w:val="24"/>
          <w:szCs w:val="24"/>
          <w:highlight w:val="yellow"/>
        </w:rPr>
      </w:r>
    </w:p>
    <w:p>
      <w:pPr>
        <w:pStyle w:val="normal1"/>
        <w:jc w:val="both"/>
        <w:rPr/>
      </w:pPr>
      <w:r>
        <w:rPr>
          <w:b/>
          <w:bCs/>
          <w:u w:val="single"/>
        </w:rPr>
        <w:t>Pubblicazione Contatori</w:t>
      </w:r>
    </w:p>
    <w:p>
      <w:pPr>
        <w:pStyle w:val="normal1"/>
        <w:jc w:val="both"/>
        <w:rPr/>
      </w:pPr>
      <w:r>
        <w:rPr/>
        <w:t>I volumi dei vari contatori saranno pubblicati su CUP 2.0 (o sua evoluzione CUP 3.0) in date certe e verranno condivisi tramite l’invio di apposita reportistica. Nello specifico, la pubblicazione avverrà:</w:t>
      </w:r>
    </w:p>
    <w:p>
      <w:pPr>
        <w:pStyle w:val="normal1"/>
        <w:jc w:val="both"/>
        <w:rPr/>
      </w:pPr>
      <w:r>
        <w:rPr/>
      </w:r>
    </w:p>
    <w:p>
      <w:pPr>
        <w:pStyle w:val="normal1"/>
        <w:keepNext w:val="false"/>
        <w:keepLines w:val="false"/>
        <w:pageBreakBefore w:val="false"/>
        <w:widowControl w:val="false"/>
        <w:numPr>
          <w:ilvl w:val="0"/>
          <w:numId w:val="8"/>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8"/>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8"/>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jc w:val="both"/>
        <w:rPr/>
      </w:pPr>
      <w:r>
        <w:rPr/>
      </w:r>
    </w:p>
    <w:p>
      <w:pPr>
        <w:pStyle w:val="normal1"/>
        <w:jc w:val="both"/>
        <w:rPr/>
      </w:pPr>
      <w:r>
        <w:rPr>
          <w:b/>
          <w:bCs/>
          <w:u w:val="single"/>
        </w:rPr>
        <w:t>Dettaglio strutturazione agende</w:t>
      </w:r>
    </w:p>
    <w:p>
      <w:pPr>
        <w:pStyle w:val="normal1"/>
        <w:jc w:val="both"/>
        <w:rPr>
          <w:b/>
          <w:bCs/>
          <w:u w:val="single"/>
        </w:rPr>
      </w:pPr>
      <w:r>
        <w:rPr>
          <w:b/>
          <w:bCs/>
          <w:u w:val="single"/>
        </w:rPr>
      </w:r>
    </w:p>
    <w:p>
      <w:pPr>
        <w:pStyle w:val="normal1"/>
        <w:numPr>
          <w:ilvl w:val="0"/>
          <w:numId w:val="9"/>
        </w:numPr>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jc w:val="both"/>
        <w:rPr/>
      </w:pPr>
      <w:r>
        <w:rPr/>
      </w:r>
    </w:p>
    <w:p>
      <w:pPr>
        <w:pStyle w:val="normal1"/>
        <w:numPr>
          <w:ilvl w:val="0"/>
          <w:numId w:val="9"/>
        </w:numPr>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jc w:val="both"/>
        <w:rPr/>
      </w:pPr>
      <w:r>
        <w:rPr/>
      </w:r>
    </w:p>
    <w:p>
      <w:pPr>
        <w:pStyle w:val="normal1"/>
        <w:numPr>
          <w:ilvl w:val="0"/>
          <w:numId w:val="9"/>
        </w:numPr>
        <w:ind w:hanging="360" w:start="720"/>
        <w:jc w:val="both"/>
        <w:rPr/>
      </w:pPr>
      <w:r>
        <w:rPr>
          <w:b/>
          <w:bCs/>
        </w:rPr>
        <w:t xml:space="preserve">Prenotabilità del quadrimestre di offerta sulla base della profondità data dai tempi massimi della prestazione/priorità                                                                      </w:t>
      </w:r>
    </w:p>
    <w:p>
      <w:pPr>
        <w:pStyle w:val="normal1"/>
        <w:jc w:val="both"/>
        <w:rPr>
          <w:b/>
          <w:bCs/>
        </w:rPr>
      </w:pPr>
      <w:r>
        <w:rPr>
          <w:b/>
          <w:bCs/>
        </w:rPr>
      </w:r>
    </w:p>
    <w:p>
      <w:pPr>
        <w:pStyle w:val="normal1"/>
        <w:numPr>
          <w:ilvl w:val="0"/>
          <w:numId w:val="9"/>
        </w:numPr>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jc w:val="both"/>
        <w:rPr/>
      </w:pPr>
      <w:r>
        <w:rPr/>
      </w:r>
    </w:p>
    <w:p>
      <w:pPr>
        <w:pStyle w:val="normal1"/>
        <w:numPr>
          <w:ilvl w:val="0"/>
          <w:numId w:val="9"/>
        </w:numPr>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jc w:val="both"/>
        <w:rPr/>
      </w:pPr>
      <w:r>
        <w:rPr/>
      </w:r>
    </w:p>
    <w:p>
      <w:pPr>
        <w:pStyle w:val="normal1"/>
        <w:numPr>
          <w:ilvl w:val="0"/>
          <w:numId w:val="9"/>
        </w:numPr>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0"/>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10"/>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10"/>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1"/>
        </w:numPr>
        <w:spacing w:lineRule="auto" w:line="360"/>
        <w:ind w:hanging="360" w:start="720"/>
        <w:jc w:val="both"/>
        <w:rPr/>
      </w:pPr>
      <w:r>
        <w:rPr/>
        <w:t>01-15/01/2026 invio integrazione I QUADRIMESTRE</w:t>
      </w:r>
    </w:p>
    <w:p>
      <w:pPr>
        <w:pStyle w:val="normal1"/>
        <w:numPr>
          <w:ilvl w:val="0"/>
          <w:numId w:val="11"/>
        </w:numPr>
        <w:spacing w:lineRule="auto" w:line="360"/>
        <w:ind w:hanging="360" w:start="720"/>
        <w:jc w:val="both"/>
        <w:rPr/>
      </w:pPr>
      <w:r>
        <w:rPr/>
        <w:t>01-15/05/2026 invio integrazione II QUADRIMESTRE</w:t>
      </w:r>
    </w:p>
    <w:p>
      <w:pPr>
        <w:pStyle w:val="normal1"/>
        <w:numPr>
          <w:ilvl w:val="0"/>
          <w:numId w:val="11"/>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2"/>
        </w:numPr>
        <w:spacing w:lineRule="auto" w:line="360"/>
        <w:ind w:hanging="360" w:start="720"/>
        <w:jc w:val="both"/>
        <w:rPr/>
      </w:pPr>
      <w:r>
        <w:rPr>
          <w:b/>
          <w:bCs/>
        </w:rPr>
        <w:t>Scorrimento annuale</w:t>
      </w:r>
    </w:p>
    <w:p>
      <w:pPr>
        <w:pStyle w:val="normal1"/>
        <w:numPr>
          <w:ilvl w:val="0"/>
          <w:numId w:val="12"/>
        </w:numPr>
        <w:spacing w:lineRule="auto" w:line="360"/>
        <w:ind w:hanging="360" w:start="720"/>
        <w:jc w:val="both"/>
        <w:rPr/>
      </w:pPr>
      <w:r>
        <w:rPr>
          <w:b/>
          <w:bCs/>
        </w:rPr>
        <w:t>Impostazione del vincolo di area geografica USLTNO</w:t>
      </w:r>
    </w:p>
    <w:p>
      <w:pPr>
        <w:pStyle w:val="normal1"/>
        <w:numPr>
          <w:ilvl w:val="0"/>
          <w:numId w:val="12"/>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3"/>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4"/>
        </w:numPr>
        <w:spacing w:lineRule="auto" w:line="360"/>
        <w:ind w:hanging="360" w:start="720"/>
        <w:jc w:val="both"/>
        <w:rPr/>
      </w:pPr>
      <w:r>
        <w:rPr/>
        <w:t>01-15/01/2026</w:t>
      </w:r>
    </w:p>
    <w:p>
      <w:pPr>
        <w:pStyle w:val="normal1"/>
        <w:keepNext w:val="false"/>
        <w:keepLines w:val="false"/>
        <w:pageBreakBefore w:val="false"/>
        <w:widowControl w:val="false"/>
        <w:numPr>
          <w:ilvl w:val="0"/>
          <w:numId w:val="14"/>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5"/>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5"/>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5"/>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5"/>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5"/>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5"/>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6"/>
        </w:numPr>
        <w:spacing w:lineRule="auto" w:line="360"/>
        <w:ind w:hanging="360" w:start="720"/>
        <w:jc w:val="both"/>
        <w:rPr/>
      </w:pPr>
      <w:r>
        <w:rPr>
          <w:b/>
          <w:bCs/>
        </w:rPr>
        <w:t>Prenotazione esclusiva da parte dell’Help Desk</w:t>
      </w:r>
    </w:p>
    <w:p>
      <w:pPr>
        <w:pStyle w:val="normal1"/>
        <w:numPr>
          <w:ilvl w:val="0"/>
          <w:numId w:val="16"/>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6"/>
        </w:numPr>
        <w:spacing w:lineRule="auto" w:line="360"/>
        <w:ind w:hanging="360" w:start="720"/>
        <w:jc w:val="both"/>
        <w:rPr/>
      </w:pPr>
      <w:r>
        <w:rPr>
          <w:b/>
          <w:bCs/>
        </w:rPr>
        <w:t>Prenotabilità per bimestre di offerta</w:t>
      </w:r>
    </w:p>
    <w:p>
      <w:pPr>
        <w:pStyle w:val="normal1"/>
        <w:numPr>
          <w:ilvl w:val="0"/>
          <w:numId w:val="16"/>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6"/>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6"/>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7"/>
        </w:numPr>
        <w:spacing w:lineRule="auto" w:line="360"/>
        <w:ind w:hanging="360" w:start="720"/>
        <w:jc w:val="both"/>
        <w:rPr/>
      </w:pPr>
      <w:r>
        <w:rPr/>
        <w:t>15/12/2025 per il I BIMESTRE</w:t>
      </w:r>
    </w:p>
    <w:p>
      <w:pPr>
        <w:pStyle w:val="normal1"/>
        <w:numPr>
          <w:ilvl w:val="0"/>
          <w:numId w:val="17"/>
        </w:numPr>
        <w:spacing w:lineRule="auto" w:line="360"/>
        <w:ind w:hanging="360" w:start="720"/>
        <w:jc w:val="both"/>
        <w:rPr/>
      </w:pPr>
      <w:r>
        <w:rPr/>
        <w:t>15/02/2026 per il II BIMESTRE</w:t>
      </w:r>
    </w:p>
    <w:p>
      <w:pPr>
        <w:pStyle w:val="normal1"/>
        <w:numPr>
          <w:ilvl w:val="0"/>
          <w:numId w:val="17"/>
        </w:numPr>
        <w:spacing w:lineRule="auto" w:line="360"/>
        <w:ind w:hanging="360" w:start="720"/>
        <w:jc w:val="both"/>
        <w:rPr/>
      </w:pPr>
      <w:r>
        <w:rPr/>
        <w:t>15/04/2026 per il III BIMESTRE</w:t>
      </w:r>
    </w:p>
    <w:p>
      <w:pPr>
        <w:pStyle w:val="normal1"/>
        <w:numPr>
          <w:ilvl w:val="0"/>
          <w:numId w:val="17"/>
        </w:numPr>
        <w:spacing w:lineRule="auto" w:line="360"/>
        <w:ind w:hanging="360" w:start="720"/>
        <w:jc w:val="both"/>
        <w:rPr/>
      </w:pPr>
      <w:r>
        <w:rPr/>
        <w:t>15/06/2026 per il IV BIMESTRE</w:t>
      </w:r>
    </w:p>
    <w:p>
      <w:pPr>
        <w:pStyle w:val="normal1"/>
        <w:numPr>
          <w:ilvl w:val="0"/>
          <w:numId w:val="17"/>
        </w:numPr>
        <w:spacing w:lineRule="auto" w:line="360"/>
        <w:ind w:hanging="360" w:start="720"/>
        <w:jc w:val="both"/>
        <w:rPr/>
      </w:pPr>
      <w:r>
        <w:rPr/>
        <w:t>15/08/2026 per il V BIMESTRE</w:t>
      </w:r>
    </w:p>
    <w:p>
      <w:pPr>
        <w:pStyle w:val="normal1"/>
        <w:numPr>
          <w:ilvl w:val="0"/>
          <w:numId w:val="17"/>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8"/>
        </w:numPr>
        <w:spacing w:lineRule="auto" w:line="360"/>
        <w:ind w:hanging="360" w:start="1146"/>
        <w:jc w:val="both"/>
        <w:rPr/>
      </w:pPr>
      <w:r>
        <w:rPr/>
        <w:t>01-15/01/2026 invio integrazione I BIMESTRE</w:t>
      </w:r>
    </w:p>
    <w:p>
      <w:pPr>
        <w:pStyle w:val="normal1"/>
        <w:numPr>
          <w:ilvl w:val="0"/>
          <w:numId w:val="18"/>
        </w:numPr>
        <w:spacing w:lineRule="auto" w:line="360"/>
        <w:ind w:hanging="360" w:start="1146"/>
        <w:jc w:val="both"/>
        <w:rPr/>
      </w:pPr>
      <w:r>
        <w:rPr/>
        <w:t>01-15/03/2026 invio integrazione II BIMESTRE</w:t>
      </w:r>
    </w:p>
    <w:p>
      <w:pPr>
        <w:pStyle w:val="normal1"/>
        <w:numPr>
          <w:ilvl w:val="0"/>
          <w:numId w:val="18"/>
        </w:numPr>
        <w:spacing w:lineRule="auto" w:line="360"/>
        <w:ind w:hanging="360" w:start="1146"/>
        <w:jc w:val="both"/>
        <w:rPr/>
      </w:pPr>
      <w:r>
        <w:rPr/>
        <w:t>01-15/05/2026 invio integrazione III BIMESTRE</w:t>
      </w:r>
    </w:p>
    <w:p>
      <w:pPr>
        <w:pStyle w:val="normal1"/>
        <w:numPr>
          <w:ilvl w:val="0"/>
          <w:numId w:val="18"/>
        </w:numPr>
        <w:spacing w:lineRule="auto" w:line="360"/>
        <w:ind w:hanging="360" w:start="1146"/>
        <w:jc w:val="both"/>
        <w:rPr/>
      </w:pPr>
      <w:r>
        <w:rPr/>
        <w:t>01-15/07/2026 invio integrazione IV BIMESTRE</w:t>
      </w:r>
    </w:p>
    <w:p>
      <w:pPr>
        <w:pStyle w:val="normal1"/>
        <w:numPr>
          <w:ilvl w:val="0"/>
          <w:numId w:val="18"/>
        </w:numPr>
        <w:spacing w:lineRule="auto" w:line="360"/>
        <w:ind w:hanging="360" w:start="1146"/>
        <w:jc w:val="both"/>
        <w:rPr/>
      </w:pPr>
      <w:r>
        <w:rPr/>
        <w:t>01-15/09/2026 invio integrazione V BIMESTRE</w:t>
      </w:r>
    </w:p>
    <w:p>
      <w:pPr>
        <w:pStyle w:val="normal1"/>
        <w:numPr>
          <w:ilvl w:val="0"/>
          <w:numId w:val="18"/>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101"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1"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5"/>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9"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3"/>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51</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51</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1"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5"/>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9"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3"/>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51</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51</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238" w:hanging="360"/>
      </w:pPr>
      <w:rPr>
        <w:rFonts w:ascii="Wingdings" w:hAnsi="Wingdings" w:cs="Wingdings" w:hint="default"/>
      </w:rPr>
    </w:lvl>
    <w:lvl w:ilvl="1">
      <w:start w:val="1"/>
      <w:numFmt w:val="bullet"/>
      <w:lvlText w:val="◦"/>
      <w:lvlJc w:val="start"/>
      <w:pPr>
        <w:tabs>
          <w:tab w:val="num" w:pos="0"/>
        </w:tabs>
        <w:ind w:start="1598" w:hanging="360"/>
      </w:pPr>
      <w:rPr>
        <w:rFonts w:ascii="OpenSymbol" w:hAnsi="OpenSymbol" w:cs="OpenSymbol" w:hint="default"/>
      </w:rPr>
    </w:lvl>
    <w:lvl w:ilvl="2">
      <w:start w:val="1"/>
      <w:numFmt w:val="bullet"/>
      <w:lvlText w:val="▪"/>
      <w:lvlJc w:val="start"/>
      <w:pPr>
        <w:tabs>
          <w:tab w:val="num" w:pos="0"/>
        </w:tabs>
        <w:ind w:start="1958" w:hanging="360"/>
      </w:pPr>
      <w:rPr>
        <w:rFonts w:ascii="OpenSymbol" w:hAnsi="OpenSymbol" w:cs="OpenSymbol" w:hint="default"/>
      </w:rPr>
    </w:lvl>
    <w:lvl w:ilvl="3">
      <w:start w:val="1"/>
      <w:numFmt w:val="bullet"/>
      <w:lvlText w:val="l"/>
      <w:lvlJc w:val="start"/>
      <w:pPr>
        <w:tabs>
          <w:tab w:val="num" w:pos="0"/>
        </w:tabs>
        <w:ind w:start="2318" w:hanging="360"/>
      </w:pPr>
      <w:rPr>
        <w:rFonts w:ascii="Wingdings" w:hAnsi="Wingdings" w:cs="Wingdings" w:hint="default"/>
      </w:rPr>
    </w:lvl>
    <w:lvl w:ilvl="4">
      <w:start w:val="1"/>
      <w:numFmt w:val="bullet"/>
      <w:lvlText w:val="◦"/>
      <w:lvlJc w:val="start"/>
      <w:pPr>
        <w:tabs>
          <w:tab w:val="num" w:pos="0"/>
        </w:tabs>
        <w:ind w:start="2678" w:hanging="360"/>
      </w:pPr>
      <w:rPr>
        <w:rFonts w:ascii="OpenSymbol" w:hAnsi="OpenSymbol" w:cs="OpenSymbol" w:hint="default"/>
      </w:rPr>
    </w:lvl>
    <w:lvl w:ilvl="5">
      <w:start w:val="1"/>
      <w:numFmt w:val="bullet"/>
      <w:lvlText w:val="▪"/>
      <w:lvlJc w:val="start"/>
      <w:pPr>
        <w:tabs>
          <w:tab w:val="num" w:pos="0"/>
        </w:tabs>
        <w:ind w:start="3038" w:hanging="360"/>
      </w:pPr>
      <w:rPr>
        <w:rFonts w:ascii="OpenSymbol" w:hAnsi="OpenSymbol" w:cs="OpenSymbol" w:hint="default"/>
      </w:rPr>
    </w:lvl>
    <w:lvl w:ilvl="6">
      <w:start w:val="1"/>
      <w:numFmt w:val="bullet"/>
      <w:lvlText w:val="l"/>
      <w:lvlJc w:val="start"/>
      <w:pPr>
        <w:tabs>
          <w:tab w:val="num" w:pos="0"/>
        </w:tabs>
        <w:ind w:start="3398" w:hanging="360"/>
      </w:pPr>
      <w:rPr>
        <w:rFonts w:ascii="Wingdings" w:hAnsi="Wingdings" w:cs="Wingdings" w:hint="default"/>
      </w:rPr>
    </w:lvl>
    <w:lvl w:ilvl="7">
      <w:start w:val="1"/>
      <w:numFmt w:val="bullet"/>
      <w:lvlText w:val="◦"/>
      <w:lvlJc w:val="start"/>
      <w:pPr>
        <w:tabs>
          <w:tab w:val="num" w:pos="0"/>
        </w:tabs>
        <w:ind w:start="3758" w:hanging="360"/>
      </w:pPr>
      <w:rPr>
        <w:rFonts w:ascii="OpenSymbol" w:hAnsi="OpenSymbol" w:cs="OpenSymbol" w:hint="default"/>
      </w:rPr>
    </w:lvl>
    <w:lvl w:ilvl="8">
      <w:start w:val="1"/>
      <w:numFmt w:val="bullet"/>
      <w:lvlText w:val="▪"/>
      <w:lvlJc w:val="start"/>
      <w:pPr>
        <w:tabs>
          <w:tab w:val="num" w:pos="0"/>
        </w:tabs>
        <w:ind w:start="4118" w:hanging="360"/>
      </w:pPr>
      <w:rPr>
        <w:rFonts w:ascii="OpenSymbol" w:hAnsi="OpenSymbol" w:cs="OpenSymbol"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7">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8">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5">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8">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9">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20">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24</Pages>
  <Words>7146</Words>
  <Characters>42701</Characters>
  <CharactersWithSpaces>51266</CharactersWithSpaces>
  <Paragraphs>293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