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CONGREGAZIONE DELLE SUORE INFERMIERE DELL’ADDOLORATA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CONGREGAZIONE DELLE SUORE INFERMIERE DELL’ADDOLORATA con sede legale in Via S.Antonio, 75 a Pisa (PI)  (C.F./ P.I. 00245750500)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per la sede Casa di Cura Suore dell’Addolorata (PI):</w:t>
      </w:r>
    </w:p>
    <w:p>
      <w:pPr>
        <w:pStyle w:val="Heading1"/>
        <w:widowControl w:val="false"/>
        <w:numPr>
          <w:ilvl w:val="0"/>
          <w:numId w:val="1"/>
        </w:numPr>
        <w:spacing w:lineRule="auto" w:line="360" w:before="64" w:after="57"/>
        <w:ind w:hanging="0" w:start="794" w:end="0"/>
        <w:jc w:val="both"/>
        <w:rPr>
          <w:b w:val="false"/>
          <w:bCs w:val="false"/>
          <w:sz w:val="24"/>
          <w:szCs w:val="24"/>
        </w:rPr>
      </w:pPr>
      <w:r>
        <w:rPr>
          <w:b w:val="false"/>
          <w:bCs w:val="false"/>
          <w:sz w:val="24"/>
          <w:szCs w:val="24"/>
        </w:rPr>
        <w:t>- è in possesso dell’autorizzazione all’esercizio delle attività sanitarie rilasciata dal Comune di Pisa con provvedimento n. A/FA 409 del 22/04/2022; n. A/FA 766 del 04/07/2022; n. D-06 388 del 26/05/2008; n. DN-18/867 del 21/09/2012;</w:t>
      </w:r>
    </w:p>
    <w:p>
      <w:pPr>
        <w:pStyle w:val="normal1"/>
        <w:keepNext w:val="false"/>
        <w:keepLines w:val="false"/>
        <w:pageBreakBefore w:val="false"/>
        <w:widowControl w:val="false"/>
        <w:pBdr/>
        <w:shd w:val="clear" w:fill="auto"/>
        <w:spacing w:lineRule="auto" w:line="360" w:before="64" w:after="57"/>
        <w:ind w:hanging="0" w:start="794"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è in possesso dell’accreditamento istituzionale rilasciato con Decreto dirigenziale della Regione Toscana – Direzione Diritti di Cittadinanza e Coesione sociale Decreto di rinnovo accreditamento n.  n. 3284 del 23/02/2023 per il processo ambulatoriale nelle discipline di cardiologia, oculistica, ginecologia e ostetricia, ortopedia e traumatologia, urologia, chirurgia generale, chirurgia vascolare, medicina interna, neurologia, reumatologia e anestesia e rianimazione;</w:t>
      </w:r>
    </w:p>
    <w:p>
      <w:pPr>
        <w:pStyle w:val="Heading1"/>
        <w:widowControl w:val="false"/>
        <w:numPr>
          <w:ilvl w:val="0"/>
          <w:numId w:val="3"/>
        </w:numPr>
        <w:spacing w:lineRule="auto" w:line="360" w:before="64" w:after="57"/>
        <w:ind w:hanging="360" w:start="815" w:end="0"/>
        <w:jc w:val="both"/>
        <w:rPr/>
      </w:pPr>
      <w:r>
        <w:rPr>
          <w:b w:val="false"/>
          <w:bCs w:val="false"/>
          <w:sz w:val="24"/>
          <w:szCs w:val="24"/>
        </w:rPr>
        <w:t>che la struttura per la sede Casa di Cura Villa Tirrena (LI):</w:t>
      </w:r>
    </w:p>
    <w:p>
      <w:pPr>
        <w:pStyle w:val="Heading1"/>
        <w:widowControl w:val="false"/>
        <w:numPr>
          <w:ilvl w:val="0"/>
          <w:numId w:val="1"/>
        </w:numPr>
        <w:spacing w:lineRule="auto" w:line="360" w:before="64" w:after="57"/>
        <w:ind w:hanging="0" w:start="850" w:end="0"/>
        <w:jc w:val="both"/>
        <w:rPr/>
      </w:pPr>
      <w:r>
        <w:rPr>
          <w:b w:val="false"/>
          <w:bCs w:val="false"/>
          <w:sz w:val="24"/>
          <w:szCs w:val="24"/>
        </w:rPr>
        <w:t>- è in possesso dell’autorizzazione all’esercizio delle attività sanitarie rilasciata dal Comune  di Livorno prot. 86961 del 11/11/2004 e Determina n. 10761 del 18/12/2018</w:t>
      </w:r>
    </w:p>
    <w:p>
      <w:pPr>
        <w:pStyle w:val="normal1"/>
        <w:keepNext w:val="false"/>
        <w:keepLines w:val="false"/>
        <w:pageBreakBefore w:val="false"/>
        <w:widowControl w:val="false"/>
        <w:pBdr/>
        <w:shd w:val="clear" w:fill="auto"/>
        <w:tabs>
          <w:tab w:val="clear" w:pos="720"/>
          <w:tab w:val="left" w:pos="1176" w:leader="none"/>
          <w:tab w:val="left" w:pos="1391" w:leader="none"/>
        </w:tabs>
        <w:spacing w:lineRule="auto" w:line="360" w:before="178" w:after="57"/>
        <w:ind w:hanging="0" w:start="85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è in possesso dell’accreditamento istituzionale rilasciato con Decreto dirigenziale della Regione Toscana – Direzione Diritti di Cittadinanza e Coesione sociale Decreto di rinnovo accreditamento n.  n. 3284 del 23/02/2023 processo ambulatoriale nelle discipline di angiologia, cardiologia, dermatologia e venereologia, neurochirurgia, oncologia, otorinolaringoiatria, endocrinologia, oftalmologia, ginecologia e ostetricia, ortopedia e traumatologia, malattie dell'apparato respiratorio, urologia, chirurgia generale, gastroenterologia, patologia clinica, radiodiagnostica, geriatria, medicina interna, medicina legale, neurologia, psichiatria, reumatologia, malattie metaboliche e diabetologia, anestesia e rianimazione, scienza dell'alimentazione e dietetica, medicina fisica e riabilitazione;</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CONGREGAZIONE DELLE SUORE INFERMIERE DELL’ADDOLORATA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sede operativa Casa di cura Suore dell'Addolorata ubicata a Pisa in via Manzoni, 13 e la sede operativa Casa di cura Villa Tirrena ubicata a Livorno in via Montebello, 102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5"/>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5"/>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5"/>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6"/>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9"/>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9"/>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9"/>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9"/>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9"/>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9"/>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9"/>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9"/>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9"/>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€ 128,00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28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Casa di Cura Suore Addolorata PISA</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Casa di Cura Villa Tirrena LIVORNO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7"/>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7"/>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7"/>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9"/>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9"/>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9"/>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9"/>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9"/>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9"/>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t xml:space="preserve">                                      </w:t>
      </w:r>
    </w:p>
    <w:p>
      <w:pPr>
        <w:pStyle w:val="normal1"/>
        <w:spacing w:lineRule="auto" w:line="360"/>
        <w:jc w:val="both"/>
        <w:rPr/>
      </w:pPr>
      <w:r>
        <w:rPr>
          <w:b/>
          <w:bCs/>
          <w:u w:val="single"/>
        </w:rPr>
        <w:t>Calendario invio documentazione per aperture da parte delle strutture</w:t>
      </w:r>
    </w:p>
    <w:p>
      <w:pPr>
        <w:pStyle w:val="normal1"/>
        <w:numPr>
          <w:ilvl w:val="0"/>
          <w:numId w:val="10"/>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10"/>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10"/>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1"/>
        </w:numPr>
        <w:spacing w:lineRule="auto" w:line="360"/>
        <w:ind w:hanging="360" w:start="720"/>
        <w:jc w:val="both"/>
        <w:rPr/>
      </w:pPr>
      <w:r>
        <w:rPr/>
        <w:t>01-15/01/2026 invio integrazione I QUADRIMESTRE</w:t>
      </w:r>
    </w:p>
    <w:p>
      <w:pPr>
        <w:pStyle w:val="normal1"/>
        <w:numPr>
          <w:ilvl w:val="0"/>
          <w:numId w:val="11"/>
        </w:numPr>
        <w:spacing w:lineRule="auto" w:line="360"/>
        <w:ind w:hanging="360" w:start="720"/>
        <w:jc w:val="both"/>
        <w:rPr/>
      </w:pPr>
      <w:r>
        <w:rPr/>
        <w:t>01-15/05/2026 invio integrazione II QUADRIMESTRE</w:t>
      </w:r>
    </w:p>
    <w:p>
      <w:pPr>
        <w:pStyle w:val="normal1"/>
        <w:numPr>
          <w:ilvl w:val="0"/>
          <w:numId w:val="11"/>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2"/>
        </w:numPr>
        <w:spacing w:lineRule="auto" w:line="360"/>
        <w:ind w:hanging="360" w:start="720"/>
        <w:jc w:val="both"/>
        <w:rPr/>
      </w:pPr>
      <w:r>
        <w:rPr>
          <w:b/>
          <w:bCs/>
        </w:rPr>
        <w:t>Scorrimento annuale</w:t>
      </w:r>
    </w:p>
    <w:p>
      <w:pPr>
        <w:pStyle w:val="normal1"/>
        <w:numPr>
          <w:ilvl w:val="0"/>
          <w:numId w:val="12"/>
        </w:numPr>
        <w:spacing w:lineRule="auto" w:line="360"/>
        <w:ind w:hanging="360" w:start="720"/>
        <w:jc w:val="both"/>
        <w:rPr/>
      </w:pPr>
      <w:r>
        <w:rPr>
          <w:b/>
          <w:bCs/>
        </w:rPr>
        <w:t>Impostazione del vincolo di area geografica USLTNO</w:t>
      </w:r>
    </w:p>
    <w:p>
      <w:pPr>
        <w:pStyle w:val="normal1"/>
        <w:numPr>
          <w:ilvl w:val="0"/>
          <w:numId w:val="12"/>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3"/>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4"/>
        </w:numPr>
        <w:spacing w:lineRule="auto" w:line="360"/>
        <w:ind w:hanging="360" w:start="720"/>
        <w:jc w:val="both"/>
        <w:rPr/>
      </w:pPr>
      <w:r>
        <w:rPr/>
        <w:t>01-15/01/2026</w:t>
      </w:r>
    </w:p>
    <w:p>
      <w:pPr>
        <w:pStyle w:val="normal1"/>
        <w:keepNext w:val="false"/>
        <w:keepLines w:val="false"/>
        <w:pageBreakBefore w:val="false"/>
        <w:widowControl w:val="false"/>
        <w:numPr>
          <w:ilvl w:val="0"/>
          <w:numId w:val="14"/>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6"/>
        </w:numPr>
        <w:spacing w:lineRule="auto" w:line="360"/>
        <w:ind w:hanging="360" w:start="720"/>
        <w:jc w:val="both"/>
        <w:rPr/>
      </w:pPr>
      <w:r>
        <w:rPr>
          <w:b/>
          <w:bCs/>
        </w:rPr>
        <w:t>Prenotazione esclusiva da parte dell’Help Desk</w:t>
      </w:r>
    </w:p>
    <w:p>
      <w:pPr>
        <w:pStyle w:val="normal1"/>
        <w:numPr>
          <w:ilvl w:val="0"/>
          <w:numId w:val="16"/>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6"/>
        </w:numPr>
        <w:spacing w:lineRule="auto" w:line="360"/>
        <w:ind w:hanging="360" w:start="720"/>
        <w:jc w:val="both"/>
        <w:rPr/>
      </w:pPr>
      <w:r>
        <w:rPr>
          <w:b/>
          <w:bCs/>
        </w:rPr>
        <w:t>Prenotabilità per bimestre di offerta</w:t>
      </w:r>
    </w:p>
    <w:p>
      <w:pPr>
        <w:pStyle w:val="normal1"/>
        <w:numPr>
          <w:ilvl w:val="0"/>
          <w:numId w:val="16"/>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6"/>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6"/>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7"/>
        </w:numPr>
        <w:spacing w:lineRule="auto" w:line="360"/>
        <w:ind w:hanging="360" w:start="720"/>
        <w:jc w:val="both"/>
        <w:rPr/>
      </w:pPr>
      <w:r>
        <w:rPr/>
        <w:t>15/12/2025 per il I BIMESTRE</w:t>
      </w:r>
    </w:p>
    <w:p>
      <w:pPr>
        <w:pStyle w:val="normal1"/>
        <w:numPr>
          <w:ilvl w:val="0"/>
          <w:numId w:val="17"/>
        </w:numPr>
        <w:spacing w:lineRule="auto" w:line="360"/>
        <w:ind w:hanging="360" w:start="720"/>
        <w:jc w:val="both"/>
        <w:rPr/>
      </w:pPr>
      <w:r>
        <w:rPr/>
        <w:t>15/02/2026 per il II BIMESTRE</w:t>
      </w:r>
    </w:p>
    <w:p>
      <w:pPr>
        <w:pStyle w:val="normal1"/>
        <w:numPr>
          <w:ilvl w:val="0"/>
          <w:numId w:val="17"/>
        </w:numPr>
        <w:spacing w:lineRule="auto" w:line="360"/>
        <w:ind w:hanging="360" w:start="720"/>
        <w:jc w:val="both"/>
        <w:rPr/>
      </w:pPr>
      <w:r>
        <w:rPr/>
        <w:t>15/04/2026 per il III BIMESTRE</w:t>
      </w:r>
    </w:p>
    <w:p>
      <w:pPr>
        <w:pStyle w:val="normal1"/>
        <w:numPr>
          <w:ilvl w:val="0"/>
          <w:numId w:val="17"/>
        </w:numPr>
        <w:spacing w:lineRule="auto" w:line="360"/>
        <w:ind w:hanging="360" w:start="720"/>
        <w:jc w:val="both"/>
        <w:rPr/>
      </w:pPr>
      <w:r>
        <w:rPr/>
        <w:t>15/06/2026 per il IV BIMESTRE</w:t>
      </w:r>
    </w:p>
    <w:p>
      <w:pPr>
        <w:pStyle w:val="normal1"/>
        <w:numPr>
          <w:ilvl w:val="0"/>
          <w:numId w:val="17"/>
        </w:numPr>
        <w:spacing w:lineRule="auto" w:line="360"/>
        <w:ind w:hanging="360" w:start="720"/>
        <w:jc w:val="both"/>
        <w:rPr/>
      </w:pPr>
      <w:r>
        <w:rPr/>
        <w:t>15/08/2026 per il V BIMESTRE</w:t>
      </w:r>
    </w:p>
    <w:p>
      <w:pPr>
        <w:pStyle w:val="normal1"/>
        <w:numPr>
          <w:ilvl w:val="0"/>
          <w:numId w:val="17"/>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8"/>
        </w:numPr>
        <w:spacing w:lineRule="auto" w:line="360"/>
        <w:ind w:hanging="360" w:start="1146"/>
        <w:jc w:val="both"/>
        <w:rPr/>
      </w:pPr>
      <w:r>
        <w:rPr/>
        <w:t>01-15/01/2026 invio integrazione I BIMESTRE</w:t>
      </w:r>
    </w:p>
    <w:p>
      <w:pPr>
        <w:pStyle w:val="normal1"/>
        <w:numPr>
          <w:ilvl w:val="0"/>
          <w:numId w:val="18"/>
        </w:numPr>
        <w:spacing w:lineRule="auto" w:line="360"/>
        <w:ind w:hanging="360" w:start="1146"/>
        <w:jc w:val="both"/>
        <w:rPr/>
      </w:pPr>
      <w:r>
        <w:rPr/>
        <w:t>01-15/03/2026 invio integrazione II BIMESTRE</w:t>
      </w:r>
    </w:p>
    <w:p>
      <w:pPr>
        <w:pStyle w:val="normal1"/>
        <w:numPr>
          <w:ilvl w:val="0"/>
          <w:numId w:val="18"/>
        </w:numPr>
        <w:spacing w:lineRule="auto" w:line="360"/>
        <w:ind w:hanging="360" w:start="1146"/>
        <w:jc w:val="both"/>
        <w:rPr/>
      </w:pPr>
      <w:r>
        <w:rPr/>
        <w:t>01-15/05/2026 invio integrazione III BIMESTRE</w:t>
      </w:r>
    </w:p>
    <w:p>
      <w:pPr>
        <w:pStyle w:val="normal1"/>
        <w:numPr>
          <w:ilvl w:val="0"/>
          <w:numId w:val="18"/>
        </w:numPr>
        <w:spacing w:lineRule="auto" w:line="360"/>
        <w:ind w:hanging="360" w:start="1146"/>
        <w:jc w:val="both"/>
        <w:rPr/>
      </w:pPr>
      <w:r>
        <w:rPr/>
        <w:t>01-15/07/2026 invio integrazione IV BIMESTRE</w:t>
      </w:r>
    </w:p>
    <w:p>
      <w:pPr>
        <w:pStyle w:val="normal1"/>
        <w:numPr>
          <w:ilvl w:val="0"/>
          <w:numId w:val="18"/>
        </w:numPr>
        <w:spacing w:lineRule="auto" w:line="360"/>
        <w:ind w:hanging="360" w:start="1146"/>
        <w:jc w:val="both"/>
        <w:rPr/>
      </w:pPr>
      <w:r>
        <w:rPr/>
        <w:t>01-15/09/2026 invio integrazione V BIMESTRE</w:t>
      </w:r>
    </w:p>
    <w:p>
      <w:pPr>
        <w:pStyle w:val="normal1"/>
        <w:numPr>
          <w:ilvl w:val="0"/>
          <w:numId w:val="18"/>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815" w:hanging="360"/>
      </w:pPr>
      <w:rPr>
        <w:rFonts w:ascii="Wingdings" w:hAnsi="Wingdings" w:cs="Wingdings" w:hint="default"/>
      </w:rPr>
    </w:lvl>
    <w:lvl w:ilvl="1">
      <w:start w:val="1"/>
      <w:numFmt w:val="bullet"/>
      <w:lvlText w:val="◦"/>
      <w:lvlJc w:val="start"/>
      <w:pPr>
        <w:tabs>
          <w:tab w:val="num" w:pos="0"/>
        </w:tabs>
        <w:ind w:start="1175" w:hanging="360"/>
      </w:pPr>
      <w:rPr>
        <w:rFonts w:ascii="OpenSymbol" w:hAnsi="OpenSymbol" w:cs="OpenSymbol" w:hint="default"/>
      </w:rPr>
    </w:lvl>
    <w:lvl w:ilvl="2">
      <w:start w:val="1"/>
      <w:numFmt w:val="bullet"/>
      <w:lvlText w:val="▪"/>
      <w:lvlJc w:val="start"/>
      <w:pPr>
        <w:tabs>
          <w:tab w:val="num" w:pos="0"/>
        </w:tabs>
        <w:ind w:start="1535" w:hanging="360"/>
      </w:pPr>
      <w:rPr>
        <w:rFonts w:ascii="OpenSymbol" w:hAnsi="OpenSymbol" w:cs="OpenSymbol" w:hint="default"/>
      </w:rPr>
    </w:lvl>
    <w:lvl w:ilvl="3">
      <w:start w:val="1"/>
      <w:numFmt w:val="bullet"/>
      <w:lvlText w:val="l"/>
      <w:lvlJc w:val="start"/>
      <w:pPr>
        <w:tabs>
          <w:tab w:val="num" w:pos="0"/>
        </w:tabs>
        <w:ind w:start="1895" w:hanging="360"/>
      </w:pPr>
      <w:rPr>
        <w:rFonts w:ascii="Wingdings" w:hAnsi="Wingdings" w:cs="Wingdings" w:hint="default"/>
      </w:rPr>
    </w:lvl>
    <w:lvl w:ilvl="4">
      <w:start w:val="1"/>
      <w:numFmt w:val="bullet"/>
      <w:lvlText w:val="◦"/>
      <w:lvlJc w:val="start"/>
      <w:pPr>
        <w:tabs>
          <w:tab w:val="num" w:pos="0"/>
        </w:tabs>
        <w:ind w:start="2255" w:hanging="360"/>
      </w:pPr>
      <w:rPr>
        <w:rFonts w:ascii="OpenSymbol" w:hAnsi="OpenSymbol" w:cs="OpenSymbol" w:hint="default"/>
      </w:rPr>
    </w:lvl>
    <w:lvl w:ilvl="5">
      <w:start w:val="1"/>
      <w:numFmt w:val="bullet"/>
      <w:lvlText w:val="▪"/>
      <w:lvlJc w:val="start"/>
      <w:pPr>
        <w:tabs>
          <w:tab w:val="num" w:pos="0"/>
        </w:tabs>
        <w:ind w:start="2615" w:hanging="360"/>
      </w:pPr>
      <w:rPr>
        <w:rFonts w:ascii="OpenSymbol" w:hAnsi="OpenSymbol" w:cs="OpenSymbol" w:hint="default"/>
      </w:rPr>
    </w:lvl>
    <w:lvl w:ilvl="6">
      <w:start w:val="1"/>
      <w:numFmt w:val="bullet"/>
      <w:lvlText w:val="l"/>
      <w:lvlJc w:val="start"/>
      <w:pPr>
        <w:tabs>
          <w:tab w:val="num" w:pos="0"/>
        </w:tabs>
        <w:ind w:start="2975" w:hanging="360"/>
      </w:pPr>
      <w:rPr>
        <w:rFonts w:ascii="Wingdings" w:hAnsi="Wingdings" w:cs="Wingdings" w:hint="default"/>
      </w:rPr>
    </w:lvl>
    <w:lvl w:ilvl="7">
      <w:start w:val="1"/>
      <w:numFmt w:val="bullet"/>
      <w:lvlText w:val="◦"/>
      <w:lvlJc w:val="start"/>
      <w:pPr>
        <w:tabs>
          <w:tab w:val="num" w:pos="0"/>
        </w:tabs>
        <w:ind w:start="3335" w:hanging="360"/>
      </w:pPr>
      <w:rPr>
        <w:rFonts w:ascii="OpenSymbol" w:hAnsi="OpenSymbol" w:cs="OpenSymbol" w:hint="default"/>
      </w:rPr>
    </w:lvl>
    <w:lvl w:ilvl="8">
      <w:start w:val="1"/>
      <w:numFmt w:val="bullet"/>
      <w:lvlText w:val="▪"/>
      <w:lvlJc w:val="start"/>
      <w:pPr>
        <w:tabs>
          <w:tab w:val="num" w:pos="0"/>
        </w:tabs>
        <w:ind w:start="3695" w:hanging="360"/>
      </w:pPr>
      <w:rPr>
        <w:rFonts w:ascii="OpenSymbol" w:hAnsi="OpenSymbol" w:cs="OpenSymbol"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7">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8">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5">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8">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9">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2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20</Pages>
  <Words>7037</Words>
  <Characters>42253</Characters>
  <CharactersWithSpaces>50549</CharactersWithSpaces>
  <Paragraphs>290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