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40" w:before="74" w:after="0"/>
        <w:ind w:hanging="0" w:start="426" w:end="160"/>
        <w:jc w:val="center"/>
        <w:rPr/>
      </w:pPr>
      <w:r>
        <w:rPr>
          <w:b/>
          <w:bCs/>
          <w:sz w:val="26"/>
          <w:szCs w:val="26"/>
        </w:rPr>
        <w:t>ACCORDO CONTRATTUALE TRA L’AZIENDA USL TOSCANA NORD OVEST E LA STRUTTURA PRIVATA ACCREDITATA CE.M.I.S. srl</w:t>
      </w:r>
    </w:p>
    <w:p>
      <w:pPr>
        <w:pStyle w:val="normal1"/>
        <w:keepNext w:val="false"/>
        <w:keepLines w:val="false"/>
        <w:pageBreakBefore w:val="false"/>
        <w:widowControl w:val="false"/>
        <w:pBdr/>
        <w:shd w:val="clear" w:fill="auto"/>
        <w:spacing w:lineRule="auto" w:line="240" w:before="1"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bCs/>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109220" distR="109855" simplePos="0" relativeHeight="2" behindDoc="0" locked="0" layoutInCell="0"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bCs/>
          <w:i w:val="false"/>
          <w:iCs w:val="false"/>
          <w:caps w:val="false"/>
          <w:smallCaps w:val="false"/>
          <w:strike w:val="false"/>
          <w:dstrike w:val="false"/>
          <w:color w:val="000000"/>
          <w:position w:val="0"/>
          <w:sz w:val="20"/>
          <w:szCs w:val="20"/>
          <w:u w:val="none"/>
          <w:shd w:fill="auto" w:val="clear"/>
          <w:vertAlign w:val="baseline"/>
        </w:rPr>
        <w:t xml:space="preserve">                                                                                                                                             </w:t>
      </w:r>
    </w:p>
    <w:p>
      <w:pPr>
        <w:pStyle w:val="normal1"/>
        <w:spacing w:lineRule="auto" w:line="240" w:before="157" w:after="0"/>
        <w:ind w:hanging="0" w:start="426" w:end="160"/>
        <w:jc w:val="center"/>
        <w:rPr/>
      </w:pPr>
      <w:r>
        <w:rPr>
          <w:b/>
          <w:bCs/>
          <w:sz w:val="26"/>
          <w:szCs w:val="26"/>
        </w:rPr>
        <w:t>PER L’EROGAZIONE DI PRESTAZIONI DI Ossigenazione Iperabarica per residenti Regione Liguria</w:t>
      </w:r>
    </w:p>
    <w:p>
      <w:pPr>
        <w:pStyle w:val="normal1"/>
        <w:spacing w:lineRule="auto" w:line="240" w:before="121" w:after="0"/>
        <w:ind w:hanging="0" w:start="426" w:end="160"/>
        <w:jc w:val="center"/>
        <w:rPr>
          <w:b/>
          <w:bCs/>
          <w:sz w:val="26"/>
          <w:szCs w:val="26"/>
        </w:rPr>
      </w:pPr>
      <w:r>
        <w:rPr>
          <w:b/>
          <w:bCs/>
          <w:sz w:val="26"/>
          <w:szCs w:val="26"/>
        </w:rPr>
        <w:t>CIG BA3429A0B4</w:t>
      </w:r>
    </w:p>
    <w:p>
      <w:pPr>
        <w:pStyle w:val="Heading1"/>
        <w:numPr>
          <w:ilvl w:val="0"/>
          <w:numId w:val="1"/>
        </w:numPr>
        <w:spacing w:lineRule="auto" w:line="240" w:before="121"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 non in proprio, ma nella sua qualità di Direttore Generale dell’Azienda USL Toscana nordovest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CE.M.I.S. srl. con sede legale in via Aurelia Ovest, 349 Massa (MS) (C.F./ P.I. 00500320452) di seguito denominata "Struttura", nella persona del legale rappresentante 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ed in particolare l’art. 8 quinquies comma 1-bis, cosi come modificato dalla Legge 5 agosto 2022, n.118, in virtù del quale i soggetti privati sono individuati, ai fini della stipula degli accordi contrattuali, mediante procedure trasparenti, eque e non discriminatorie, previa pubblicazione da parte delle regioni di un avviso contenente criteri oggettivi di selezione, che valorizzino prioritariamente la qualità delle specifiche prestazioni sanitarie da erogare; (articolo sospeso dalla legge xxx del dicembre 2024, art 36)</w:t>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il Decreto Legislativo 30 dicembre 1992, n. 502</w:t>
      </w:r>
      <w:r>
        <w:rPr>
          <w:rFonts w:eastAsia="Garamond" w:cs="Garamond"/>
          <w:b/>
          <w:bCs/>
          <w:i/>
          <w:iCs/>
          <w:caps w:val="false"/>
          <w:smallCaps w:val="false"/>
          <w:strike w:val="false"/>
          <w:dstrike w:val="false"/>
          <w:color w:val="000000"/>
          <w:position w:val="0"/>
          <w:sz w:val="24"/>
          <w:szCs w:val="24"/>
          <w:u w:val="none"/>
          <w:shd w:fill="auto" w:val="clear"/>
          <w:vertAlign w:val="baseline"/>
        </w:rPr>
        <w:t xml:space="preserve"> 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recante “Riordino della disciplina in materia sanitaria”, ed in particolare: l’art. 8 - bis comma 1, in virtù del quale le regioni assicurano i livelli essenziali e uniformi di assistenza avvalendosi dei presidi direttamente gestiti dalle aziende unità sanitarie locali, delle aziende ospedaliere, delle aziende universitarie e degli istituti di ricovero e cura a carattere scientifico, nonché di soggetti accreditati ai sensi dell'articolo 8 quater, mediante gli accordi contrattuali di cui all’art. 8 quinquies del medesimo D.Lgs. n. 502/1992; l’art. 8-bis comma 3 in virtù del quale la realizzazione di strutture sanitarie e l’esercizio di attività sanitarie, l’esercizio di attività sanitarie per conto del SSN e l’esercizio di attività sanitaria a carico del SSN sono subordinate, rispettivamente al rilascio delle autorizzazioni di cui all’art. 8-ter, dell’Accreditamento istituzionale di cui all’art. 8-quater, nonché alla stipulazione degli accordi contrattuali di cui all’art. 8- quinquies”;</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Decreto del Presidente della Giunta Regionale 17 novembre 2016 n. 79/ R</w:t>
      </w:r>
      <w:r>
        <w:rPr>
          <w:sz w:val="24"/>
          <w:szCs w:val="24"/>
        </w:rPr>
        <w:t xml:space="preserve"> “</w:t>
      </w:r>
      <w:r>
        <w:rPr>
          <w:i/>
          <w:iCs/>
          <w:sz w:val="24"/>
          <w:szCs w:val="24"/>
        </w:rPr>
        <w:t xml:space="preserve">Regolamento di attuazione della legge regionale 5 agosto 2009 n.51 in materia di autorizzazione e accreditamento delle strutture sanitarie </w:t>
      </w:r>
      <w:r>
        <w:rPr>
          <w:sz w:val="24"/>
          <w:szCs w:val="24"/>
        </w:rPr>
        <w:t>;</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Decreto del Presidente del Consiglio dei Ministri (D.P.C.M.) 12 gennaio 2017</w:t>
      </w:r>
      <w:r>
        <w:rPr>
          <w:sz w:val="24"/>
          <w:szCs w:val="24"/>
        </w:rPr>
        <w:t>, con il quale sono stati definiti i Livelli Essenziali di Assistenza di cui all’art. 1, comma 7 del D.Lgs 502/92;</w:t>
      </w:r>
    </w:p>
    <w:p>
      <w:pPr>
        <w:pStyle w:val="normal1"/>
        <w:tabs>
          <w:tab w:val="clear" w:pos="720"/>
          <w:tab w:val="left" w:pos="1533" w:leader="none"/>
        </w:tabs>
        <w:spacing w:lineRule="auto" w:line="360" w:before="0" w:after="0"/>
        <w:ind w:hanging="0" w:start="426" w:end="160"/>
        <w:jc w:val="both"/>
        <w:rPr/>
      </w:pPr>
      <w:r>
        <w:rPr>
          <w:sz w:val="24"/>
          <w:szCs w:val="24"/>
        </w:rPr>
        <w:t xml:space="preserve">la </w:t>
      </w:r>
      <w:r>
        <w:rPr>
          <w:b/>
          <w:bCs/>
          <w:sz w:val="24"/>
          <w:szCs w:val="24"/>
        </w:rPr>
        <w:t>Delibera di Giunta Regionale n. 504 del 15 maggio 2017</w:t>
      </w:r>
      <w:r>
        <w:rPr>
          <w:sz w:val="24"/>
          <w:szCs w:val="24"/>
        </w:rPr>
        <w:t xml:space="preserve"> di recepimento del D.P.C.M. 12 gennaio 2017;</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Decreto del Presidente della Giunta Regionale 16 settembre 2020, n. 90/R</w:t>
      </w:r>
      <w:r>
        <w:rPr>
          <w:sz w:val="24"/>
          <w:szCs w:val="24"/>
        </w:rPr>
        <w:t>, “Autorizzazione ed accreditamento delle strutture sanitarie. Modifiche al Regolamento di attuazione della Legge Regionale 5 agosto 2009, n. 51, approvato con decreto del Presidente della Giunta Regionale 17 novembre 2016, n. 79/R. Revoca DPGRT n. 85/R dell’11 agosto 2020”;</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Giunta regionale 28 novembre 2022, n. 1339</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dei tetti massimi per l'acquisto di prestazioni dalle strutture sanitarie private accreditate”, che assegna alle Ausl Toscane, tra cui la AUSL Toscana nordovest gli importi annui da destinare ai rapporti di collaborazione con Strutture private-accreditate, conformi alla normativa nazionale in materia di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spending review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(Legge 7 agosto 2012, n. 135 e s.m.i., e Legge 6 agosto 2015, n. 125);</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Decreto Ministero della Salute 19 dicembre 2022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“Valutazione in termini di qualità, sicurezza ed appropriatezza delle attività erogate per l'accreditamento e per gli accordi contrattuali con le strutture sanitarie” che al fine di valorizzare la qualità delle specifiche prestazioni sanitarie, introduce nuovi requisiti di accreditamento istituzionale e per la stipula degli accordi contrattuali con le strutture private accreditate, precisando, all’art. 5 comma 3, che nelle more dell'attuazione delle disposizioni innovative introdotte, continuano ad applicarsi i precedenti criteri sia ai fini dell'accreditamento sia per la stipula degli accordi contrattuali con le strutture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Decreto Ministero della Salute 26 settembre 2023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“Proroga dei termini di cui all'art. 5, comma 1, del Decreto 19 dicembre 2022, concernente «Valutazione in termini di qualità, sicurezza ed appropriatezza delle attività erogate per l'accreditamento e per gli accordi contrattuali con le strutture sanitarie». (23A05458) (GU n.228 del 29-9-2023);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Giunta regionale 9 ottobre 2023, n. 1150 “DGRT n. 967 del 7 agosto 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“Recepimento disposizioni DM Ministero della Salute del 19 dicembre 2022 - Gazzetta Ufficiale n. 305 del 31/12/2022 - prime linee di indirizzo applicative alle strutture sanitarie, pubbliche e private: revoca e nuovo recepimento”, contenente i seguenti Allegati: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A Verifiche per il rilascio di nuovi accreditamenti,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B Verifiche per la selezione dei soggetti privati in relazione agli accordi contrattuali;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del Ministro della Salute, di concerto con il Ministro dell’Economia e delle Finanze del 23 giugno 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il quale è stato definito il nuovo nomenclatore tariffario dell’assistenza specialistica ambulatoriale e protesica, ai sensi dell’art. 8-sexies, commi 5 e 7, del D.Lgs. 502/92;</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1297 del 6 novembre 2023:</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26633 del 18 dicembre 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4.1;</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del Ministro della Salute, di concerto con il Ministro dell’Economia e delle Finanze del 31 dicembre 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stabilisce le date di entrata in vigore delle tariffe dell’assistenza specialistica ambulatoriale e delle tariffe di assistenza protesica dal 1° aprile 2024;</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del Ministro della Salute, di concerto con il Ministro dell’Economia e delle Finanze del 31 marzo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differisce la data di entrata in vigore delle tariffe dell’assistenza specialistica ambulatoriale e delle tariffe di assistenza protesica dal 1° gennaio 2025;</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di Giunta Regionale n. 1168 del 21 ottobre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concernente l’adozione del nomenclatore delle prestazioni specialistiche ambulatoriali erogabili nell’ambito del SSR fissandone l’entrata in vigore il 15 novembre 2024;</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decreto dirigenziale regionale n. 23955 del 25 ottobre 2024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il quale è stato parimenti adottato il catalogo regionale versione 4.3.1 in vigore dal 15 novembre 2024;</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del .Ministero della Salute del 25 novembre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il quale vengono determinate le tariffe massime di riferimento per la remunerazione delle prestazioni di assistenza specialistica ambulatoriale e di assistenza protesica, la cui entrata in vigore era fissata il 30 dicembre 2024;</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l’ultima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di giunta regionale  n. 1530 del 19/12/2024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approva il Nomenclatore Tariffario regionale delle prestazioni di specialistica ambulatoriale la cui entrata in vigore è fissata per il 30 dicembre 2024;</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l’ultimo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28312 del 20/12/2024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approva il  il catalogo regionale delle prestazioni specialistiche ambulatoriali versione 4.4 fissandone l’entrata in vigore il 30 dicembre 2024;</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spacing w:lineRule="auto" w:line="360"/>
        <w:ind w:hanging="0" w:start="426" w:end="160"/>
        <w:jc w:val="both"/>
        <w:rPr>
          <w:strike w:val="false"/>
          <w:dstrike w:val="false"/>
        </w:rPr>
      </w:pPr>
      <w:r>
        <w:rPr>
          <w:strike w:val="false"/>
          <w:dstrike w:val="false"/>
          <w:sz w:val="24"/>
          <w:szCs w:val="24"/>
        </w:rPr>
        <w:t xml:space="preserve">la </w:t>
      </w:r>
      <w:r>
        <w:rPr>
          <w:b/>
          <w:bCs/>
          <w:strike w:val="false"/>
          <w:dstrike w:val="false"/>
          <w:sz w:val="24"/>
          <w:szCs w:val="24"/>
        </w:rPr>
        <w:t xml:space="preserve">delibera di giunta regionale </w:t>
      </w:r>
      <w:r>
        <w:rPr>
          <w:strike w:val="false"/>
          <w:dstrike w:val="false"/>
          <w:sz w:val="24"/>
          <w:szCs w:val="24"/>
        </w:rPr>
        <w:t xml:space="preserve">587 del 12/05/2025 “Revisione della destinazione dei tetti di spesa previsti dalla DGR n. 1339 del 28/11/2022 ai fini dell'abbattimento delle liste d'attesa e definizione dei nuovi budget” ha dato disposizioni specifiche sulla destinazione della quota 2025 della DGRT 1339/2022 (ovvero € 4.695.503 per Attività per Ricovero per Alta Specialità per residenti ExtraRegione) affinché tale importo sia finalizzato all’abbattimento delle liste di attesa per  residenti indipendentemente dal setting (ricovero, specialistica, chirurgia ambulatoriale, chirurgia congiunta) su cui utilizzarle, e comunque per le finalità che l’Asl potrà convenire di concerto con Regione Toscana; </w:t>
      </w:r>
    </w:p>
    <w:p>
      <w:pPr>
        <w:pStyle w:val="normal1"/>
        <w:spacing w:lineRule="auto" w:line="360"/>
        <w:ind w:hanging="0" w:start="426" w:end="160"/>
        <w:jc w:val="both"/>
        <w:rPr>
          <w:strike w:val="false"/>
          <w:dstrike w:val="false"/>
          <w:sz w:val="24"/>
          <w:szCs w:val="24"/>
        </w:rPr>
      </w:pPr>
      <w:r>
        <w:rPr>
          <w:strike w:val="false"/>
          <w:dstrike w:val="false"/>
          <w:sz w:val="24"/>
          <w:szCs w:val="24"/>
        </w:rPr>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919 del 04/10/2024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indire una manifestazione di interesse per l'erogazione di prestazioni di diagnostica e specialistica anno 2025 ai sensi della DGRT 1150/2023</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282 del 14.03.2025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919/2024 e dalla quale la struttura privata CE.M.I.S. risulta essere l’unico fornitore di prestazioni di OSSIGENAZIONE IPERBARICA</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Visto che, a seguito di accordi intercorsi tra Regione Toscana e Regione Liguria, è stato accordato, all’interno di intese informali più ampie, di  prevedere un budget lordo di 25.000,00 Euro per la prestazione di Ossigenazione Iperbarica da erogare per i pazienti liguri, tenendo ovviamente conto  del meccanismo a fine anno delle compensazioni attive; </w:t>
      </w:r>
    </w:p>
    <w:p>
      <w:pPr>
        <w:pStyle w:val="Heading1"/>
        <w:numPr>
          <w:ilvl w:val="0"/>
          <w:numId w:val="1"/>
        </w:numPr>
        <w:spacing w:lineRule="auto" w:line="240" w:before="121" w:after="114"/>
        <w:ind w:hanging="0" w:start="426" w:end="160"/>
        <w:rPr/>
      </w:pPr>
      <w:r>
        <w:rPr/>
        <w:t>PREMESSO ALTRESI’</w:t>
      </w:r>
    </w:p>
    <w:p>
      <w:pPr>
        <w:pStyle w:val="Heading1"/>
        <w:numPr>
          <w:ilvl w:val="0"/>
          <w:numId w:val="9"/>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Massa n. 92/00 con provvedimento del 21.03.2005, richiesta mantenimento requisiti 16.07.2024 SUAP Massa 045010</w:t>
      </w:r>
    </w:p>
    <w:p>
      <w:pPr>
        <w:pStyle w:val="normal1"/>
        <w:keepNext w:val="false"/>
        <w:keepLines w:val="false"/>
        <w:pageBreakBefore w:val="false"/>
        <w:widowControl w:val="false"/>
        <w:numPr>
          <w:ilvl w:val="0"/>
          <w:numId w:val="9"/>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n. 12069 del 20.06.2022  per il processo ambulatoriale nella disciplina di anestesia e rianimazione _ Medicina Iperbarica.</w:t>
      </w:r>
    </w:p>
    <w:p>
      <w:pPr>
        <w:pStyle w:val="normal1"/>
        <w:keepNext w:val="false"/>
        <w:keepLines w:val="false"/>
        <w:pageBreakBefore w:val="false"/>
        <w:widowControl w:val="false"/>
        <w:numPr>
          <w:ilvl w:val="0"/>
          <w:numId w:val="9"/>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la quantità e la qualità delle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rPr/>
      </w:pPr>
      <w:r>
        <w:rPr/>
        <w:t>ART. 1 PREMESSE</w:t>
      </w:r>
    </w:p>
    <w:p>
      <w:pPr>
        <w:pStyle w:val="normal1"/>
        <w:keepNext w:val="false"/>
        <w:keepLines w:val="false"/>
        <w:pageBreakBefore w:val="false"/>
        <w:widowControl w:val="false"/>
        <w:numPr>
          <w:ilvl w:val="1"/>
          <w:numId w:val="8"/>
        </w:numPr>
        <w:pBdr/>
        <w:shd w:val="clear" w:fill="auto"/>
        <w:tabs>
          <w:tab w:val="clear" w:pos="720"/>
          <w:tab w:val="left" w:pos="791" w:leader="none"/>
        </w:tabs>
        <w:spacing w:lineRule="auto" w:line="360" w:before="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numPr>
          <w:ilvl w:val="1"/>
          <w:numId w:val="7"/>
        </w:numPr>
        <w:pBdr/>
        <w:shd w:val="clear" w:fill="auto"/>
        <w:tabs>
          <w:tab w:val="clear" w:pos="720"/>
          <w:tab w:val="left" w:pos="806" w:leader="none"/>
        </w:tabs>
        <w:spacing w:lineRule="auto" w:line="360" w:before="254"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In applicazione della deliberazione del Direttore Generale n. 42 del 22/01/2026 si affida a CE.M.I.S. srl l’erogazione delle prestazioni specialistiche ambulatoriali nella disciplina di anestesia e rianimazione - Medicina Iperbarica da erogare a pazienti residenti Regione Liguria;  </w:t>
      </w:r>
    </w:p>
    <w:p>
      <w:pPr>
        <w:pStyle w:val="normal1"/>
        <w:keepNext w:val="false"/>
        <w:keepLines w:val="false"/>
        <w:pageBreakBefore w:val="false"/>
        <w:widowControl w:val="false"/>
        <w:numPr>
          <w:ilvl w:val="1"/>
          <w:numId w:val="7"/>
        </w:numPr>
        <w:pBdr/>
        <w:shd w:val="clear" w:fill="auto"/>
        <w:tabs>
          <w:tab w:val="clear" w:pos="720"/>
          <w:tab w:val="left" w:pos="887" w:leader="none"/>
        </w:tabs>
        <w:spacing w:lineRule="auto" w:line="360" w:before="12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L’attività specialistica è erogata a favore degli iscritti al Servizio Sanitario Nazionale nella struttura oggetto di accreditamento, nei limiti definiti dal presente Accordo contrattuale.</w:t>
      </w:r>
    </w:p>
    <w:p>
      <w:pPr>
        <w:pStyle w:val="Heading1"/>
        <w:numPr>
          <w:ilvl w:val="0"/>
          <w:numId w:val="1"/>
        </w:numPr>
        <w:spacing w:lineRule="auto" w:line="240" w:before="110" w:after="0"/>
        <w:ind w:hanging="0" w:start="426" w:end="160"/>
        <w:rPr/>
      </w:pPr>
      <w:r>
        <w:rPr/>
        <w:t xml:space="preserve">ART. </w:t>
      </w:r>
      <w:r>
        <w:rPr>
          <w:i/>
          <w:iCs/>
          <w:sz w:val="25"/>
          <w:szCs w:val="25"/>
        </w:rPr>
        <w:t xml:space="preserve">3 </w:t>
      </w:r>
      <w:r>
        <w:rPr/>
        <w:t>– ATTIVITA’- MODALITA’ DI EROGAZIONE</w:t>
      </w:r>
    </w:p>
    <w:p>
      <w:pPr>
        <w:pStyle w:val="normal1"/>
        <w:keepNext w:val="false"/>
        <w:keepLines w:val="false"/>
        <w:pageBreakBefore w:val="false"/>
        <w:widowControl w:val="false"/>
        <w:numPr>
          <w:ilvl w:val="1"/>
          <w:numId w:val="6"/>
        </w:numPr>
        <w:pBdr/>
        <w:shd w:val="clear" w:fill="auto"/>
        <w:tabs>
          <w:tab w:val="clear" w:pos="720"/>
          <w:tab w:val="left" w:pos="849" w:leader="none"/>
        </w:tabs>
        <w:spacing w:lineRule="auto" w:line="360" w:before="254"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In esecuzione della richiamata deliberazione Direttore Generale n. 42 del 22.01.2026 l’Azienda richiede, e la Struttura accetta, nell’ambito delle prestazioni consentite dall’accreditamento ed entro il limite del tetto di spesa unico ed omnicomprensivo per l’anno 2026 (valore lordo di produzione) per le  prestazioni per cittadini residenti presso la Regione Liguria;</w:t>
      </w:r>
    </w:p>
    <w:p>
      <w:pPr>
        <w:pStyle w:val="normal1"/>
        <w:keepNext w:val="false"/>
        <w:keepLines w:val="false"/>
        <w:pageBreakBefore w:val="false"/>
        <w:widowControl w:val="false"/>
        <w:numPr>
          <w:ilvl w:val="1"/>
          <w:numId w:val="6"/>
        </w:numPr>
        <w:pBdr/>
        <w:shd w:val="clear" w:fill="auto"/>
        <w:tabs>
          <w:tab w:val="clear" w:pos="720"/>
          <w:tab w:val="left" w:pos="873" w:leader="none"/>
          <w:tab w:val="left" w:pos="5141" w:leader="none"/>
          <w:tab w:val="left" w:pos="7191" w:leader="none"/>
        </w:tabs>
        <w:spacing w:lineRule="auto" w:line="360" w:before="121"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struttura garantisce l’esecuzione delle attività oggetto del presente contratto presso la struttura, ubicata a Massa (MS) in via Aurelia Ovest, n. 349 come da autorizzazione ed atto di accreditamento di cui in premessa.</w:t>
      </w:r>
    </w:p>
    <w:p>
      <w:pPr>
        <w:pStyle w:val="normal1"/>
        <w:keepNext w:val="false"/>
        <w:keepLines w:val="false"/>
        <w:pageBreakBefore w:val="false"/>
        <w:widowControl w:val="false"/>
        <w:numPr>
          <w:ilvl w:val="1"/>
          <w:numId w:val="6"/>
        </w:numPr>
        <w:pBdr/>
        <w:shd w:val="clear" w:fill="auto"/>
        <w:tabs>
          <w:tab w:val="clear" w:pos="720"/>
          <w:tab w:val="left" w:pos="801" w:leader="none"/>
        </w:tabs>
        <w:spacing w:lineRule="auto" w:line="360" w:before="119"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In ogni caso, l’Azienda si riserva la facoltà, sentita la struttura, di rimodulare i volumi di attività in caso di norme, regionali o nazionali, sopravvenute e comunque in funzione dei budget assegnati negli anni successivi.</w:t>
      </w:r>
    </w:p>
    <w:p>
      <w:pPr>
        <w:pStyle w:val="normal1"/>
        <w:keepNext w:val="false"/>
        <w:keepLines w:val="false"/>
        <w:pageBreakBefore w:val="false"/>
        <w:widowControl w:val="false"/>
        <w:numPr>
          <w:ilvl w:val="1"/>
          <w:numId w:val="6"/>
        </w:numPr>
        <w:pBdr/>
        <w:shd w:val="clear" w:fill="auto"/>
        <w:tabs>
          <w:tab w:val="clear" w:pos="720"/>
          <w:tab w:val="left" w:pos="842" w:leader="none"/>
        </w:tabs>
        <w:spacing w:lineRule="auto" w:line="360" w:before="121"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Struttura si impegna ad eseguire le attività oggetto del contratto nel rispetto dei corrispondenti volumi economici assegnati sulla base della programmazione comunicata dalla ASL.</w:t>
      </w:r>
    </w:p>
    <w:p>
      <w:pPr>
        <w:pStyle w:val="normal1"/>
        <w:keepNext w:val="false"/>
        <w:keepLines w:val="false"/>
        <w:pageBreakBefore w:val="false"/>
        <w:widowControl w:val="false"/>
        <w:numPr>
          <w:ilvl w:val="1"/>
          <w:numId w:val="6"/>
        </w:numPr>
        <w:pBdr/>
        <w:shd w:val="clear" w:fill="auto"/>
        <w:tabs>
          <w:tab w:val="clear" w:pos="720"/>
          <w:tab w:val="left" w:pos="811" w:leader="none"/>
        </w:tabs>
        <w:spacing w:lineRule="auto" w:line="360" w:before="119"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Struttura si impegna a programmare l’attività in modo da consentirne la omogenea erogazione nell’intero periodo di riferimento contrattuale, salvo le eventuali chiusure programmate, concordate con l’Azienda.</w:t>
      </w:r>
    </w:p>
    <w:p>
      <w:pPr>
        <w:pStyle w:val="normal1"/>
        <w:keepNext w:val="false"/>
        <w:keepLines w:val="false"/>
        <w:pageBreakBefore w:val="false"/>
        <w:widowControl w:val="false"/>
        <w:numPr>
          <w:ilvl w:val="1"/>
          <w:numId w:val="6"/>
        </w:numPr>
        <w:pBdr/>
        <w:shd w:val="clear" w:fill="auto"/>
        <w:tabs>
          <w:tab w:val="clear" w:pos="720"/>
          <w:tab w:val="left" w:pos="815" w:leader="none"/>
        </w:tabs>
        <w:spacing w:lineRule="auto" w:line="360" w:before="121"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L’Azienda è esonerata da ogni obbligo nei confronti della Struttura per l’attività eseguita eccedente i volumi di attività per ciascuna singola tipologia di prestazione;.</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3.7-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3.8- La Struttura prende atto che la valutazione del rispetto dei vincoli previsti dalla normativa vigente è svolta a livello regionale, non più di singola azienda sanitaria, e che detta valutazione presenta le seguenti caratteristiche:</w:t>
      </w:r>
    </w:p>
    <w:p>
      <w:pPr>
        <w:pStyle w:val="normal1"/>
        <w:keepNext w:val="false"/>
        <w:keepLines w:val="false"/>
        <w:pageBreakBefore w:val="false"/>
        <w:widowControl w:val="false"/>
        <w:numPr>
          <w:ilvl w:val="2"/>
          <w:numId w:val="6"/>
        </w:numPr>
        <w:pBdr/>
        <w:shd w:val="clear" w:fill="auto"/>
        <w:tabs>
          <w:tab w:val="clear" w:pos="720"/>
          <w:tab w:val="left" w:pos="602" w:leader="none"/>
        </w:tabs>
        <w:spacing w:lineRule="auto" w:line="360" w:before="57"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è assicurata tramite i flussi informativi specifici relativi all’assistenza specialistica ambulatoriale (SPA);</w:t>
      </w:r>
    </w:p>
    <w:p>
      <w:pPr>
        <w:pStyle w:val="normal1"/>
        <w:keepNext w:val="false"/>
        <w:keepLines w:val="false"/>
        <w:pageBreakBefore w:val="false"/>
        <w:widowControl w:val="false"/>
        <w:numPr>
          <w:ilvl w:val="2"/>
          <w:numId w:val="6"/>
        </w:numPr>
        <w:pBdr/>
        <w:shd w:val="clear" w:fill="auto"/>
        <w:tabs>
          <w:tab w:val="clear" w:pos="720"/>
          <w:tab w:val="left" w:pos="634"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è tesa a valutare il rispetto dei limiti quantitativi assegnati alla Struttura e la coerenza della casistica erogata rispetto a quella contrattualmente prevista.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3.9 La Struttura si impegna ad assicurare coerenza fra quanto indicato nei flussi informativi regionali (SPA), e gli importi fatturati 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VOLUME ECONOMICO</w:t>
      </w:r>
    </w:p>
    <w:p>
      <w:pPr>
        <w:pStyle w:val="normal1"/>
        <w:keepNext w:val="false"/>
        <w:keepLines w:val="false"/>
        <w:pageBreakBefore w:val="false"/>
        <w:widowControl w:val="false"/>
        <w:numPr>
          <w:ilvl w:val="1"/>
          <w:numId w:val="5"/>
        </w:numPr>
        <w:pBdr/>
        <w:shd w:val="clear" w:fill="auto"/>
        <w:tabs>
          <w:tab w:val="clear" w:pos="720"/>
          <w:tab w:val="left" w:pos="815" w:leader="none"/>
        </w:tabs>
        <w:spacing w:lineRule="auto" w:line="360" w:before="256"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Struttura prende atto ed accetta, con decorrenza dalla sottoscrizione del presente atto e fino al 31.12.2026, il budget lordo assegnato di € 25.000,00 per l’erogazione di prestazioni a pazienti residenti in Regione Liguria.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La Struttura concorda che non vanterà alcun credito eccedente rispetto ai volumi di riferimento specificati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5 - TARIFFE</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Le tariffe per le prestazioni di specialistica ambulatoriale prescritte tra il 15.11.24 e il 29.12.24 sono quelle del tariffario nomenclatore regionale adottato dalla Regione Toscana con atto n. 1168 del 21 ottobre 2024 e con decreto dirigenziale regionale n. 23955 del 25 ottobre 2024 con il quale è stato adottato il catalogo regionale versione 4.3.1. Le tariffe per le prestazioni di specialistica ambulatoriale prescritte dal 30.12.24 sono quelle del tariffario nomenclatore regionale adottato dalla Regione Toscana con atto n. 1530 del 19.12.2024 e con decreto dirigenziale regionale n. 28312 del 20.12.2024 con il quale è stato adottato il catalogo regionale versione 4.4.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5"/>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La struttura si impegna all’applicazione degli sconti come previsti dagli esiti della manifestazione di interesse anno 2025 (delibera 282/2025)</w:t>
      </w:r>
    </w:p>
    <w:p>
      <w:pPr>
        <w:pStyle w:val="Heading1"/>
        <w:numPr>
          <w:ilvl w:val="0"/>
          <w:numId w:val="1"/>
        </w:numPr>
        <w:spacing w:lineRule="auto" w:line="240" w:before="114" w:after="0"/>
        <w:ind w:hanging="0" w:start="426" w:end="160"/>
        <w:rPr/>
      </w:pPr>
      <w:r>
        <w:rPr/>
        <w:t>ART. 6 - MODALITA' DI ACCESSO</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Salvo diverso accordo tra le parti, l'accesso alla prestazioni specialistiche ambulatoriali avviene mediante prenotazione con procedura informatizzata Cup aziendale. La struttura si impegna a comunicare/inserire tempestivamente la propria offerta. La struttura è configurata nella procedura aziendale definita CUP2 /CUP2.0 per le prenotazioni.</w:t>
      </w:r>
    </w:p>
    <w:p>
      <w:pPr>
        <w:pStyle w:val="Heading1"/>
        <w:numPr>
          <w:ilvl w:val="0"/>
          <w:numId w:val="1"/>
        </w:numPr>
        <w:spacing w:lineRule="auto" w:line="240" w:before="121" w:after="0"/>
        <w:ind w:hanging="0" w:start="426" w:end="160"/>
        <w:rPr/>
      </w:pPr>
      <w:r>
        <w:rPr/>
        <w:t>ART. 7 -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Heading1"/>
        <w:numPr>
          <w:ilvl w:val="0"/>
          <w:numId w:val="1"/>
        </w:numPr>
        <w:spacing w:lineRule="auto" w:line="240" w:before="120" w:after="0"/>
        <w:ind w:hanging="0" w:start="426" w:end="160"/>
        <w:rPr/>
      </w:pPr>
      <w:r>
        <w:rPr/>
        <w:t>ART. 8 - RAPPORTI CON IL CITTADINO</w:t>
      </w:r>
    </w:p>
    <w:p>
      <w:pPr>
        <w:pStyle w:val="normal1"/>
        <w:keepNext w:val="false"/>
        <w:keepLines w:val="false"/>
        <w:pageBreakBefore w:val="false"/>
        <w:widowControl w:val="false"/>
        <w:numPr>
          <w:ilvl w:val="1"/>
          <w:numId w:val="4"/>
        </w:numPr>
        <w:pBdr/>
        <w:shd w:val="clear" w:fill="auto"/>
        <w:tabs>
          <w:tab w:val="clear" w:pos="720"/>
          <w:tab w:val="left" w:pos="801" w:leader="none"/>
        </w:tabs>
        <w:spacing w:lineRule="auto" w:line="360" w:before="256"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numPr>
          <w:ilvl w:val="1"/>
          <w:numId w:val="4"/>
        </w:numPr>
        <w:pBdr/>
        <w:shd w:val="clear" w:fill="auto"/>
        <w:tabs>
          <w:tab w:val="clear" w:pos="720"/>
          <w:tab w:val="left" w:pos="804" w:leader="none"/>
        </w:tabs>
        <w:spacing w:lineRule="auto" w:line="360" w:before="119"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sottoscrive specifico atto giuridico relativo al trattamento dei dati.</w:t>
      </w:r>
    </w:p>
    <w:p>
      <w:pPr>
        <w:pStyle w:val="Heading1"/>
        <w:numPr>
          <w:ilvl w:val="0"/>
          <w:numId w:val="1"/>
        </w:numPr>
        <w:spacing w:lineRule="auto" w:line="240" w:before="192" w:after="0"/>
        <w:ind w:hanging="0" w:start="426" w:end="160"/>
        <w:rPr/>
      </w:pPr>
      <w:r>
        <w:rPr/>
        <w:t>ART. 9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L’Azienda USL, procederà ad effettuare autonomamente dei controlli sulle prestazioni ambulatoriali effettuate dalle strutture private in convenzione e sulla struttura anche attraverso accessi diretti non programmati.</w:t>
      </w:r>
    </w:p>
    <w:p>
      <w:pPr>
        <w:pStyle w:val="Heading1"/>
        <w:numPr>
          <w:ilvl w:val="0"/>
          <w:numId w:val="1"/>
        </w:numPr>
        <w:spacing w:lineRule="auto" w:line="360" w:before="119" w:after="0"/>
        <w:ind w:hanging="0" w:start="426" w:end="160"/>
        <w:jc w:val="both"/>
        <w:rPr/>
      </w:pPr>
      <w:r>
        <w:rPr/>
        <w:t>ART. 10 - MODALITÀ TRASMISSIONE FLUSSI INFORMATIVI E FASCICOLO ELETTRONICO AGGIUNTO</w:t>
      </w:r>
    </w:p>
    <w:p>
      <w:pPr>
        <w:pStyle w:val="normal1"/>
        <w:keepNext w:val="false"/>
        <w:keepLines w:val="false"/>
        <w:pageBreakBefore w:val="false"/>
        <w:widowControl w:val="false"/>
        <w:numPr>
          <w:ilvl w:val="1"/>
          <w:numId w:val="3"/>
        </w:numPr>
        <w:pBdr/>
        <w:shd w:val="clear" w:fill="auto"/>
        <w:tabs>
          <w:tab w:val="clear" w:pos="720"/>
          <w:tab w:val="left" w:pos="949" w:leader="none"/>
        </w:tabs>
        <w:spacing w:lineRule="auto" w:line="360" w:before="73"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I tracciati SPA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le prestazioni di specialistica ambulatoriale erogate in favore di cittadini residenti nell’ambito territoriale delle Regione Toscana, con l’inserimento della Struttura nel sistema CUP aziendale (o CUP 02 light), la generazione dei flussi regionali avviene tramite il sistema informatico dell'Azienda. La Struttura è tenuta a registrare sulla procedura CUP aziendale l'avvenuta esecuzione delle prestazioni prescritte e prenotate, evidenziando eventuali difformità tra il prenotato e l'eseguito, in modo da consentire la corretta compilazione del flusso informativo denominato SPA, secondo il tracciato record previsto dalla deliberazione Giunta regionale del 2 dicembre 2014, n. 1240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Modifiche e integrazioni al manuale flussi DOC”</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ESTAR, estrae i flussi informativi dell’attività resa dalla Struttura entro il quinto giorno successivo alla chiusura del mese di riferimento.</w:t>
      </w:r>
    </w:p>
    <w:p>
      <w:pPr>
        <w:pStyle w:val="normal1"/>
        <w:keepNext w:val="false"/>
        <w:keepLines w:val="false"/>
        <w:pageBreakBefore w:val="false"/>
        <w:widowControl w:val="false"/>
        <w:numPr>
          <w:ilvl w:val="1"/>
          <w:numId w:val="3"/>
        </w:numPr>
        <w:pBdr/>
        <w:shd w:val="clear" w:fill="auto"/>
        <w:tabs>
          <w:tab w:val="clear" w:pos="720"/>
          <w:tab w:val="left" w:pos="935" w:leader="none"/>
        </w:tabs>
        <w:spacing w:lineRule="auto" w:line="360" w:before="121"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Regione Toscana, sulla base delle informazioni trasmesse da ESTAR, effettua il calcolo della mobilità sanitaria attiva (compensazioni), per le prestazioni rese dalla Struttura ad utenti residenti in altre Aziende sanitarie regionali ed extra regionali, inserite nei flussi SPA, qualora sia stati presi in carico utenti provenienti da altre aziende sanitarie regionali ed extra-regionali.</w:t>
      </w:r>
    </w:p>
    <w:p>
      <w:pPr>
        <w:pStyle w:val="normal1"/>
        <w:keepNext w:val="false"/>
        <w:keepLines w:val="false"/>
        <w:pageBreakBefore w:val="false"/>
        <w:widowControl w:val="false"/>
        <w:numPr>
          <w:ilvl w:val="1"/>
          <w:numId w:val="3"/>
        </w:numPr>
        <w:pBdr/>
        <w:shd w:val="clear" w:fill="auto"/>
        <w:tabs>
          <w:tab w:val="clear" w:pos="720"/>
          <w:tab w:val="left" w:pos="927" w:leader="none"/>
        </w:tabs>
        <w:spacing w:lineRule="auto" w:line="360" w:before="119"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numPr>
          <w:ilvl w:val="1"/>
          <w:numId w:val="3"/>
        </w:numPr>
        <w:pBdr/>
        <w:shd w:val="clear" w:fill="auto"/>
        <w:tabs>
          <w:tab w:val="clear" w:pos="720"/>
          <w:tab w:val="left" w:pos="957" w:leader="none"/>
        </w:tabs>
        <w:spacing w:lineRule="auto" w:line="360" w:before="121"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45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11 - MODALITA’ RICHIESTA PAGAMENTI</w:t>
      </w:r>
    </w:p>
    <w:p>
      <w:pPr>
        <w:pStyle w:val="Heading1"/>
        <w:numPr>
          <w:ilvl w:val="0"/>
          <w:numId w:val="1"/>
        </w:numPr>
        <w:spacing w:lineRule="auto" w:line="360" w:before="120" w:after="0"/>
        <w:ind w:hanging="0" w:start="426" w:end="160"/>
        <w:jc w:val="both"/>
        <w:rPr>
          <w:b w:val="false"/>
          <w:bCs w:val="false"/>
        </w:rPr>
      </w:pPr>
      <w:r>
        <w:rPr>
          <w:b w:val="false"/>
          <w:bCs w:val="false"/>
        </w:rPr>
        <w:t>11.1-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il presente contratto viene acquisito il CIG ai soli fii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3"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si impegna ad inviare i riepiloghi mensili dell’attività svolta su supporto cartaceo. I riepiloghi, distinti per le specialità contrattate devono contenere i seguenti elementi:</w:t>
      </w:r>
    </w:p>
    <w:p>
      <w:pPr>
        <w:pStyle w:val="normal1"/>
        <w:keepNext w:val="false"/>
        <w:keepLines w:val="false"/>
        <w:pageBreakBefore w:val="false"/>
        <w:widowControl w:val="false"/>
        <w:numPr>
          <w:ilvl w:val="0"/>
          <w:numId w:val="2"/>
        </w:numPr>
        <w:pBdr/>
        <w:shd w:val="clear" w:fill="auto"/>
        <w:tabs>
          <w:tab w:val="clear" w:pos="720"/>
          <w:tab w:val="left" w:pos="588" w:leader="none"/>
        </w:tabs>
        <w:spacing w:lineRule="auto" w:line="360" w:before="57"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ed indirizzo dell'utente,</w:t>
      </w:r>
    </w:p>
    <w:p>
      <w:pPr>
        <w:pStyle w:val="normal1"/>
        <w:keepNext w:val="false"/>
        <w:keepLines w:val="false"/>
        <w:pageBreakBefore w:val="false"/>
        <w:widowControl w:val="false"/>
        <w:numPr>
          <w:ilvl w:val="0"/>
          <w:numId w:val="2"/>
        </w:numPr>
        <w:pBdr/>
        <w:shd w:val="clear" w:fill="auto"/>
        <w:tabs>
          <w:tab w:val="clear" w:pos="720"/>
          <w:tab w:val="left" w:pos="588"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comune di residenza anagrafica dell'utente,</w:t>
      </w:r>
    </w:p>
    <w:p>
      <w:pPr>
        <w:pStyle w:val="normal1"/>
        <w:keepNext w:val="false"/>
        <w:keepLines w:val="false"/>
        <w:pageBreakBefore w:val="false"/>
        <w:widowControl w:val="false"/>
        <w:numPr>
          <w:ilvl w:val="0"/>
          <w:numId w:val="2"/>
        </w:numPr>
        <w:pBdr/>
        <w:shd w:val="clear" w:fill="auto"/>
        <w:tabs>
          <w:tab w:val="clear" w:pos="720"/>
          <w:tab w:val="left" w:pos="588" w:leader="none"/>
        </w:tabs>
        <w:spacing w:lineRule="auto" w:line="240" w:before="0" w:after="0"/>
        <w:ind w:hanging="0" w:start="426" w:end="160"/>
        <w:jc w:val="start"/>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2"/>
        </w:numPr>
        <w:pBdr/>
        <w:shd w:val="clear" w:fill="auto"/>
        <w:tabs>
          <w:tab w:val="clear" w:pos="720"/>
          <w:tab w:val="left" w:pos="588" w:leader="none"/>
        </w:tabs>
        <w:spacing w:lineRule="auto" w:line="240" w:before="136" w:after="0"/>
        <w:ind w:hanging="0" w:start="426" w:end="160"/>
        <w:jc w:val="start"/>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2"/>
        </w:numPr>
        <w:pBdr/>
        <w:shd w:val="clear" w:fill="auto"/>
        <w:tabs>
          <w:tab w:val="clear" w:pos="720"/>
          <w:tab w:val="left" w:pos="588" w:leader="none"/>
        </w:tabs>
        <w:spacing w:lineRule="auto" w:line="240" w:before="140" w:after="0"/>
        <w:ind w:hanging="0" w:start="426" w:end="160"/>
        <w:jc w:val="start"/>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w:t>
      </w:r>
    </w:p>
    <w:p>
      <w:pPr>
        <w:pStyle w:val="normal1"/>
        <w:keepNext w:val="false"/>
        <w:keepLines w:val="false"/>
        <w:pageBreakBefore w:val="false"/>
        <w:widowControl w:val="false"/>
        <w:pBdr/>
        <w:shd w:val="clear" w:fill="auto"/>
        <w:spacing w:lineRule="auto" w:line="240" w:before="19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Le ricette mediche in originale sono raggruppate e trasmesse nello stesso ordine.</w:t>
      </w:r>
    </w:p>
    <w:p>
      <w:pPr>
        <w:pStyle w:val="normal1"/>
        <w:keepNext w:val="false"/>
        <w:keepLines w:val="false"/>
        <w:pageBreakBefore w:val="false"/>
        <w:widowControl w:val="false"/>
        <w:pBdr/>
        <w:shd w:val="clear" w:fill="auto"/>
        <w:spacing w:lineRule="auto" w:line="360" w:before="171" w:after="171"/>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emetterà fatture distinte come da sopracitati riepiloghi per l’attività effettivamente erogata (a seconda se USL N.O., altre UUSSLL RT e extra RT ) o diversa articolazione richiesta dall’Azienda.</w:t>
      </w:r>
    </w:p>
    <w:p>
      <w:pPr>
        <w:pStyle w:val="normal1"/>
        <w:keepNext w:val="false"/>
        <w:keepLines w:val="false"/>
        <w:pageBreakBefore w:val="false"/>
        <w:widowControl w:val="false"/>
        <w:pBdr/>
        <w:shd w:val="clear" w:fill="auto"/>
        <w:spacing w:lineRule="auto" w:line="360" w:before="22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L’Azienda entro 60 giorni dalla data di ricevimento delle fatture, previa verifica di regolarità amministrativa e contabile, provvederà a corrispondere il 100% dell’importo fatturato mensilmente.</w:t>
      </w:r>
    </w:p>
    <w:p>
      <w:pPr>
        <w:pStyle w:val="normal1"/>
        <w:keepNext w:val="false"/>
        <w:keepLines w:val="false"/>
        <w:pageBreakBefore w:val="false"/>
        <w:widowControl w:val="false"/>
        <w:pBdr/>
        <w:shd w:val="clear" w:fill="auto"/>
        <w:spacing w:lineRule="auto" w:line="360" w:before="22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ASL provvederà a quantificare il suddetto saldo sulla base dell’attività del ritorno regionale risultante sul flusso SPA (ovvero a conguagliare successivamente sulla base del medesimo).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Eventuali contestazioni dovranno essere formalizzate entro 30 giorni dal ricevimento della suindicata quantificazione.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L’utente ha la facoltà di pagare il ticket relativo alle prestazioni erogate dalla struttura in qualsiasi modalità prevista dall USL Nord ovest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11.2 - Premesso che il tetto di spesa è negoziato al lordo, la fattura dovrà essere emessa al netto.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Si precisa che:</w:t>
      </w:r>
    </w:p>
    <w:p>
      <w:pPr>
        <w:pStyle w:val="normal1"/>
        <w:keepNext w:val="false"/>
        <w:keepLines w:val="false"/>
        <w:pageBreakBefore w:val="false"/>
        <w:widowControl w:val="false"/>
        <w:numPr>
          <w:ilvl w:val="0"/>
          <w:numId w:val="10"/>
        </w:numPr>
        <w:pBdr/>
        <w:shd w:val="clear" w:fill="auto"/>
        <w:tabs>
          <w:tab w:val="clear" w:pos="720"/>
          <w:tab w:val="left" w:pos="692" w:leader="none"/>
        </w:tabs>
        <w:spacing w:lineRule="auto" w:line="360" w:before="254"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numPr>
          <w:ilvl w:val="0"/>
          <w:numId w:val="10"/>
        </w:numPr>
        <w:pBdr/>
        <w:shd w:val="clear" w:fill="auto"/>
        <w:tabs>
          <w:tab w:val="clear" w:pos="720"/>
          <w:tab w:val="left" w:pos="646" w:leader="none"/>
        </w:tabs>
        <w:spacing w:lineRule="auto" w:line="36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w:t>
      </w:r>
    </w:p>
    <w:p>
      <w:pPr>
        <w:pStyle w:val="normal1"/>
        <w:keepNext w:val="false"/>
        <w:keepLines w:val="false"/>
        <w:pageBreakBefore w:val="false"/>
        <w:widowControl w:val="false"/>
        <w:numPr>
          <w:ilvl w:val="0"/>
          <w:numId w:val="10"/>
        </w:numPr>
        <w:pBdr/>
        <w:shd w:val="clear" w:fill="auto"/>
        <w:tabs>
          <w:tab w:val="clear" w:pos="720"/>
          <w:tab w:val="left" w:pos="634"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è tenuta a chiudere la posizione debitoria dell’utente mediante utilizzo del codice IUV generato in sede di prenotazione;</w:t>
      </w:r>
    </w:p>
    <w:p>
      <w:pPr>
        <w:pStyle w:val="normal1"/>
        <w:keepNext w:val="false"/>
        <w:keepLines w:val="false"/>
        <w:pageBreakBefore w:val="false"/>
        <w:widowControl w:val="false"/>
        <w:numPr>
          <w:ilvl w:val="0"/>
          <w:numId w:val="10"/>
        </w:numPr>
        <w:pBdr/>
        <w:shd w:val="clear" w:fill="auto"/>
        <w:tabs>
          <w:tab w:val="clear" w:pos="720"/>
          <w:tab w:val="left" w:pos="608"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fattura per la remunerazione delle prestazioni dovrà pertanto essere rimessa alla USL al netto del ticket e dovrà tassativamente riportare:</w:t>
      </w:r>
    </w:p>
    <w:p>
      <w:pPr>
        <w:pStyle w:val="normal1"/>
        <w:keepNext w:val="false"/>
        <w:keepLines w:val="false"/>
        <w:pageBreakBefore w:val="false"/>
        <w:widowControl w:val="false"/>
        <w:numPr>
          <w:ilvl w:val="0"/>
          <w:numId w:val="10"/>
        </w:numPr>
        <w:pBdr/>
        <w:shd w:val="clear" w:fill="auto"/>
        <w:tabs>
          <w:tab w:val="clear" w:pos="720"/>
          <w:tab w:val="left" w:pos="588" w:leader="none"/>
        </w:tabs>
        <w:spacing w:lineRule="auto" w:line="24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valore lordo delle prestazioni erogate (valore lordo di produzione),</w:t>
      </w:r>
    </w:p>
    <w:p>
      <w:pPr>
        <w:pStyle w:val="normal1"/>
        <w:keepNext w:val="false"/>
        <w:keepLines w:val="false"/>
        <w:pageBreakBefore w:val="false"/>
        <w:widowControl w:val="false"/>
        <w:numPr>
          <w:ilvl w:val="0"/>
          <w:numId w:val="10"/>
        </w:numPr>
        <w:pBdr/>
        <w:shd w:val="clear" w:fill="auto"/>
        <w:tabs>
          <w:tab w:val="clear" w:pos="720"/>
          <w:tab w:val="left" w:pos="588" w:leader="none"/>
        </w:tabs>
        <w:spacing w:lineRule="auto" w:line="240" w:before="254"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lo sconto praticato in diminuzione,</w:t>
      </w:r>
    </w:p>
    <w:p>
      <w:pPr>
        <w:pStyle w:val="normal1"/>
        <w:keepNext w:val="false"/>
        <w:keepLines w:val="false"/>
        <w:pageBreakBefore w:val="false"/>
        <w:widowControl w:val="false"/>
        <w:numPr>
          <w:ilvl w:val="0"/>
          <w:numId w:val="10"/>
        </w:numPr>
        <w:pBdr/>
        <w:shd w:val="clear" w:fill="auto"/>
        <w:tabs>
          <w:tab w:val="clear" w:pos="720"/>
          <w:tab w:val="left" w:pos="588" w:leader="none"/>
        </w:tabs>
        <w:spacing w:lineRule="auto" w:line="24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 in diminuzione.</w:t>
      </w:r>
    </w:p>
    <w:p>
      <w:pPr>
        <w:pStyle w:val="normal1"/>
        <w:keepNext w:val="false"/>
        <w:keepLines w:val="false"/>
        <w:pageBreakBefore w:val="false"/>
        <w:widowControl w:val="false"/>
        <w:numPr>
          <w:ilvl w:val="0"/>
          <w:numId w:val="10"/>
        </w:numPr>
        <w:pBdr/>
        <w:shd w:val="clear" w:fill="auto"/>
        <w:tabs>
          <w:tab w:val="clear" w:pos="720"/>
          <w:tab w:val="left" w:pos="588" w:leader="none"/>
        </w:tabs>
        <w:spacing w:lineRule="auto" w:line="240" w:before="254"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netto a pagare.</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La Struttura si impegna ad inviare i riepiloghi mensili dell’attività svolta in regime di ambulatoriale con modalità informatica, tramite posta elettronica. I file inoltrati devono essere protetti con modalità idonee ad impedire l’illecita o fortuita acquisizione delle informazioni trasmesse. A tal fine il file è zippato e dotato di password per l’apertura (massimo 8 caratteri con almeno 1 maiuscola, 1 minuscola, 1 numero, 1 carattere speciale), resa nota all’Azienda tramite canali diversi da quelli utilizzati per l’invio.</w:t>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58" w:after="0"/>
        <w:ind w:hanging="0" w:start="426" w:end="160"/>
        <w:jc w:val="both"/>
        <w:rPr/>
      </w:pPr>
      <w:r>
        <w:rPr/>
        <w:t>ART. 12 - MODALITA' DI PAGAMENTO</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numPr>
          <w:ilvl w:val="1"/>
          <w:numId w:val="17"/>
        </w:numPr>
        <w:pBdr/>
        <w:shd w:val="clear" w:fill="auto"/>
        <w:tabs>
          <w:tab w:val="clear" w:pos="720"/>
          <w:tab w:val="left" w:pos="947" w:leader="none"/>
        </w:tabs>
        <w:spacing w:lineRule="auto" w:line="360" w:before="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L'Azienda provvederà, purché sia stato rispettato dalla Struttura quanto previsto dai precedenti articoli, a pagare le competenze regolarmente fatturate dalla Struttura entro 60 giorni dalla data di ricevimento delle fatture. In caso di ritardato pagamento saranno applicati gli interessi di cui al D. Lgs. N. 231 del 2002.</w:t>
      </w:r>
    </w:p>
    <w:p>
      <w:pPr>
        <w:pStyle w:val="normal1"/>
        <w:keepNext w:val="false"/>
        <w:keepLines w:val="false"/>
        <w:pageBreakBefore w:val="false"/>
        <w:widowControl w:val="false"/>
        <w:pBdr/>
        <w:shd w:val="clear" w:fill="auto"/>
        <w:spacing w:lineRule="auto" w:line="240" w:before="15"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numPr>
          <w:ilvl w:val="1"/>
          <w:numId w:val="17"/>
        </w:numPr>
        <w:pBdr/>
        <w:shd w:val="clear" w:fill="auto"/>
        <w:tabs>
          <w:tab w:val="clear" w:pos="720"/>
          <w:tab w:val="left" w:pos="903" w:leader="none"/>
        </w:tabs>
        <w:spacing w:lineRule="auto" w:line="240" w:before="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I termini di decorrenza sono interrotti in caso di contestazioni.</w:t>
      </w:r>
    </w:p>
    <w:p>
      <w:pPr>
        <w:pStyle w:val="normal1"/>
        <w:keepNext w:val="false"/>
        <w:keepLines w:val="false"/>
        <w:pageBreakBefore w:val="false"/>
        <w:widowControl w:val="false"/>
        <w:pBdr/>
        <w:shd w:val="clear" w:fill="auto"/>
        <w:spacing w:lineRule="auto" w:line="240" w:before="15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numPr>
          <w:ilvl w:val="1"/>
          <w:numId w:val="17"/>
        </w:numPr>
        <w:pBdr/>
        <w:shd w:val="clear" w:fill="auto"/>
        <w:tabs>
          <w:tab w:val="clear" w:pos="720"/>
          <w:tab w:val="left" w:pos="939" w:leader="none"/>
        </w:tabs>
        <w:spacing w:lineRule="auto" w:line="360" w:before="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Ove si evidenzino non corrispondenze tra i dati contabilizzati ed i dati contenuti nei flussi informativi regionali la struttura dovrà provvedere a correggere gli errori imputabili alla struttura stessa ( ad esempio codici fiscali mancanti o errati, numero di impegnativa mancante o errato o fittizio). La Struttura è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numPr>
          <w:ilvl w:val="1"/>
          <w:numId w:val="17"/>
        </w:numPr>
        <w:pBdr/>
        <w:shd w:val="clear" w:fill="auto"/>
        <w:tabs>
          <w:tab w:val="clear" w:pos="720"/>
          <w:tab w:val="left" w:pos="940" w:leader="none"/>
        </w:tabs>
        <w:spacing w:lineRule="auto" w:line="360" w:before="171"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 La Struttura è tenuta a restituire all'Azienda gli importi già percepiti a seguito di emissione di fattura ma successivamente non riconosciuti dalla Regione Toscana alla data di chiusura dell'anno di riferimento, in quanto connessi a records forniti dalla Struttura medesima non utilizzabili ai fini delle compensazioni tramite emissione di note di credito.</w:t>
      </w:r>
    </w:p>
    <w:p>
      <w:pPr>
        <w:pStyle w:val="normal1"/>
        <w:keepNext w:val="false"/>
        <w:keepLines w:val="false"/>
        <w:pageBreakBefore w:val="false"/>
        <w:widowControl w:val="false"/>
        <w:numPr>
          <w:ilvl w:val="1"/>
          <w:numId w:val="17"/>
        </w:numPr>
        <w:pBdr/>
        <w:shd w:val="clear" w:fill="auto"/>
        <w:tabs>
          <w:tab w:val="clear" w:pos="720"/>
          <w:tab w:val="left" w:pos="909" w:leader="none"/>
        </w:tabs>
        <w:spacing w:lineRule="auto" w:line="360" w:before="119"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In tutti i casi in cui la Struttura è tenuta all’emissione di nota di credito, ma non provvede per varie motivazioni e in tempi congrui, l’Azienda ha titolo per recuperare gli importi dovuti, con azione di rivalsa sulle competenze di spettanza della Società ancora da liquidare.</w:t>
      </w:r>
    </w:p>
    <w:p>
      <w:pPr>
        <w:pStyle w:val="normal1"/>
        <w:keepNext w:val="false"/>
        <w:keepLines w:val="false"/>
        <w:pageBreakBefore w:val="false"/>
        <w:widowControl w:val="false"/>
        <w:numPr>
          <w:ilvl w:val="1"/>
          <w:numId w:val="17"/>
        </w:numPr>
        <w:pBdr/>
        <w:shd w:val="clear" w:fill="auto"/>
        <w:tabs>
          <w:tab w:val="clear" w:pos="720"/>
          <w:tab w:val="left" w:pos="935" w:leader="none"/>
        </w:tabs>
        <w:spacing w:lineRule="auto" w:line="360" w:before="12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Le fatture sono liquidate solo a seguito di verifica della congruità con i sotto-tetti economici previsti per cittadini residenti nell’ambito territoriale dell’Azienda, nell’ambito territoriale di altre aziende sanitarie della Regione Toscana e in altre regioni.</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13 - TRACCIABILITA’ FLUSSI FINANZIARI E VERIFICA ADEMPIMENTI FISCALI E CONTRIBUTIVI E VERIFICHE ANTIMAFIA</w:t>
      </w:r>
    </w:p>
    <w:p>
      <w:pPr>
        <w:pStyle w:val="normal1"/>
        <w:keepNext w:val="false"/>
        <w:keepLines w:val="false"/>
        <w:pageBreakBefore w:val="false"/>
        <w:widowControl w:val="false"/>
        <w:numPr>
          <w:ilvl w:val="1"/>
          <w:numId w:val="16"/>
        </w:numPr>
        <w:pBdr/>
        <w:shd w:val="clear" w:fill="auto"/>
        <w:tabs>
          <w:tab w:val="clear" w:pos="720"/>
          <w:tab w:val="left" w:pos="933" w:leader="none"/>
        </w:tabs>
        <w:spacing w:lineRule="auto" w:line="360" w:before="73"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numPr>
          <w:ilvl w:val="1"/>
          <w:numId w:val="16"/>
        </w:numPr>
        <w:pBdr/>
        <w:shd w:val="clear" w:fill="auto"/>
        <w:tabs>
          <w:tab w:val="clear" w:pos="720"/>
          <w:tab w:val="left" w:pos="927" w:leader="none"/>
        </w:tabs>
        <w:spacing w:lineRule="auto" w:line="360" w:before="12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L’Azienda contraente, ai fini del pagamento delle competenze dovute alla Struttura, acquisirà il documento di regolarità contributiva (DURC).</w:t>
      </w:r>
    </w:p>
    <w:p>
      <w:pPr>
        <w:pStyle w:val="normal1"/>
        <w:keepNext w:val="false"/>
        <w:keepLines w:val="false"/>
        <w:pageBreakBefore w:val="false"/>
        <w:widowControl w:val="false"/>
        <w:numPr>
          <w:ilvl w:val="1"/>
          <w:numId w:val="16"/>
        </w:numPr>
        <w:pBdr/>
        <w:shd w:val="clear" w:fill="auto"/>
        <w:tabs>
          <w:tab w:val="clear" w:pos="720"/>
          <w:tab w:val="left" w:pos="945" w:leader="none"/>
        </w:tabs>
        <w:spacing w:lineRule="auto" w:line="360" w:before="12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 liquidazione delle competenze avverrà solo nel caso che la Struttura risulti in regola con la contribuzione verso gli Enti previdenziali.</w:t>
      </w:r>
    </w:p>
    <w:p>
      <w:pPr>
        <w:pStyle w:val="normal1"/>
        <w:keepNext w:val="false"/>
        <w:keepLines w:val="false"/>
        <w:pageBreakBefore w:val="false"/>
        <w:widowControl w:val="false"/>
        <w:numPr>
          <w:ilvl w:val="1"/>
          <w:numId w:val="16"/>
        </w:numPr>
        <w:pBdr/>
        <w:shd w:val="clear" w:fill="auto"/>
        <w:tabs>
          <w:tab w:val="clear" w:pos="720"/>
          <w:tab w:val="left" w:pos="951" w:leader="none"/>
        </w:tabs>
        <w:spacing w:lineRule="auto" w:line="360" w:before="12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Codice delle leggi antimafia e delle misure di prevenzione, nonché nuove disposizioni in materia di documentazione antimafia”.      </w:t>
      </w:r>
    </w:p>
    <w:p>
      <w:pPr>
        <w:pStyle w:val="Heading1"/>
        <w:numPr>
          <w:ilvl w:val="0"/>
          <w:numId w:val="1"/>
        </w:numPr>
        <w:spacing w:lineRule="auto" w:line="240" w:before="121" w:after="0"/>
        <w:ind w:hanging="0" w:start="426" w:end="160"/>
        <w:jc w:val="both"/>
        <w:rPr/>
      </w:pPr>
      <w:r>
        <w:rPr/>
        <w:t>ART. 14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in quanto concessionario di un pubblico servizio utilizza PAGO PA.</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256" w:after="0"/>
        <w:ind w:hanging="0" w:start="426" w:end="160"/>
        <w:jc w:val="both"/>
        <w:rPr/>
      </w:pPr>
      <w:r>
        <w:rPr/>
        <w:t>ART. 15 – INADEMPIMENTI CONTRATTUALI</w:t>
      </w:r>
    </w:p>
    <w:p>
      <w:pPr>
        <w:pStyle w:val="normal1"/>
        <w:keepNext w:val="false"/>
        <w:keepLines w:val="false"/>
        <w:pageBreakBefore w:val="false"/>
        <w:widowControl w:val="false"/>
        <w:numPr>
          <w:ilvl w:val="1"/>
          <w:numId w:val="15"/>
        </w:numPr>
        <w:pBdr/>
        <w:shd w:val="clear" w:fill="auto"/>
        <w:tabs>
          <w:tab w:val="clear" w:pos="720"/>
          <w:tab w:val="left" w:pos="927" w:leader="none"/>
        </w:tabs>
        <w:spacing w:lineRule="auto" w:line="360" w:before="254"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numPr>
          <w:ilvl w:val="1"/>
          <w:numId w:val="15"/>
        </w:numPr>
        <w:pBdr/>
        <w:shd w:val="clear" w:fill="auto"/>
        <w:tabs>
          <w:tab w:val="clear" w:pos="720"/>
          <w:tab w:val="left" w:pos="959" w:leader="none"/>
        </w:tabs>
        <w:spacing w:lineRule="auto" w:line="360" w:before="73"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numPr>
          <w:ilvl w:val="1"/>
          <w:numId w:val="15"/>
        </w:numPr>
        <w:pBdr/>
        <w:shd w:val="clear" w:fill="auto"/>
        <w:tabs>
          <w:tab w:val="clear" w:pos="720"/>
          <w:tab w:val="left" w:pos="959" w:leader="none"/>
        </w:tabs>
        <w:spacing w:lineRule="auto" w:line="360" w:before="120"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16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iCs/>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16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4"/>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presentazione dell’allegato A alla Regione Toscana nei termini previsti dalla Regione Toscana stessa, disponibilità, qualità, e caratteristiche della dotazione strumentale, presenza e funzionamento dei sistemi di sicurezza e di archiviazione, possesso dei requisiti di cui all’allegato B e qualsiasi altro elemento volto a falsare la valutazione della commissione;</w:t>
      </w:r>
    </w:p>
    <w:p>
      <w:pPr>
        <w:pStyle w:val="normal1"/>
        <w:keepNext w:val="false"/>
        <w:keepLines w:val="false"/>
        <w:pageBreakBefore w:val="false"/>
        <w:widowControl w:val="false"/>
        <w:numPr>
          <w:ilvl w:val="0"/>
          <w:numId w:val="14"/>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4"/>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4"/>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4"/>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4"/>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pBdr/>
        <w:shd w:val="clear" w:fill="auto"/>
        <w:spacing w:lineRule="auto" w:line="240" w:before="98"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numPr>
          <w:ilvl w:val="0"/>
          <w:numId w:val="14"/>
        </w:numPr>
        <w:pBdr/>
        <w:shd w:val="clear" w:fill="auto"/>
        <w:tabs>
          <w:tab w:val="clear" w:pos="720"/>
          <w:tab w:val="left" w:pos="754" w:leader="none"/>
          <w:tab w:val="left" w:pos="816"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4"/>
        </w:numPr>
        <w:pBdr/>
        <w:shd w:val="clear" w:fill="auto"/>
        <w:tabs>
          <w:tab w:val="clear" w:pos="720"/>
          <w:tab w:val="left" w:pos="702" w:leader="none"/>
        </w:tabs>
        <w:spacing w:lineRule="auto" w:line="360" w:before="114"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4"/>
        </w:numPr>
        <w:pBdr/>
        <w:shd w:val="clear" w:fill="auto"/>
        <w:tabs>
          <w:tab w:val="clear" w:pos="720"/>
          <w:tab w:val="left" w:pos="787" w:leader="none"/>
          <w:tab w:val="left" w:pos="816" w:leader="none"/>
        </w:tabs>
        <w:spacing w:lineRule="auto" w:line="360" w:before="234"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17 -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t>ART. 18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18.1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Le parti, presa visione dell’allegato "Atto Giuridico di definizione delle responsabilità nella materia della protezione dei dati personali ai sensi dell'art. 28 del Regolamento UE 2016/679  " al presente atto, quale sua parte integrante e</w:t>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rPr/>
      </w:pPr>
      <w:r>
        <w:rPr/>
        <w:t>ART. 19 -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ogni controversia le parti convengono che sia competente il Foro di Pisa</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256" w:after="0"/>
        <w:ind w:hanging="0" w:start="426" w:end="160"/>
        <w:rPr/>
      </w:pPr>
      <w:r>
        <w:rPr/>
        <w:t>ART. 20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Il presente contratto ha decorrenza dalla sottoscrizione del presente atto e termine al 31/12/2026.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60"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20.3 - I contenuti organizzativi ed economici del presente atto possono essere oggetto di revisione periodica per variazioni che dovessero intervenire a seguito dell'emanazione di leggi, regolamenti, disposizioni nazionali e/o regionali.</w:t>
      </w:r>
    </w:p>
    <w:p>
      <w:pPr>
        <w:pStyle w:val="Heading2"/>
        <w:numPr>
          <w:ilvl w:val="1"/>
          <w:numId w:val="1"/>
        </w:numPr>
        <w:ind w:hanging="0" w:start="426" w:end="160"/>
        <w:rPr/>
      </w:pPr>
      <w:r>
        <w:rPr/>
        <w:t>Art. 21 – SPESE</w:t>
      </w:r>
    </w:p>
    <w:p>
      <w:pPr>
        <w:pStyle w:val="normal1"/>
        <w:keepNext w:val="false"/>
        <w:keepLines w:val="false"/>
        <w:pageBreakBefore w:val="false"/>
        <w:widowControl w:val="false"/>
        <w:numPr>
          <w:ilvl w:val="0"/>
          <w:numId w:val="13"/>
        </w:numPr>
        <w:pBdr/>
        <w:shd w:val="clear" w:fill="auto"/>
        <w:tabs>
          <w:tab w:val="clear" w:pos="720"/>
          <w:tab w:val="left" w:pos="686" w:leader="none"/>
        </w:tabs>
        <w:spacing w:lineRule="auto" w:line="360" w:before="114" w:after="114"/>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numPr>
          <w:ilvl w:val="0"/>
          <w:numId w:val="13"/>
        </w:numPr>
        <w:pBdr/>
        <w:shd w:val="clear" w:fill="auto"/>
        <w:tabs>
          <w:tab w:val="clear" w:pos="720"/>
          <w:tab w:val="left" w:pos="771" w:leader="none"/>
        </w:tabs>
        <w:spacing w:lineRule="auto" w:line="360" w:before="0" w:after="0"/>
        <w:ind w:hanging="0" w:start="426" w:end="160"/>
        <w:jc w:val="end"/>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presente atto è soggetto a registrazione in caso d’uso. Le spese di registrazione sono poste a carico della parte richiedente. Le spese di bollo di € 64,00 ed ogni altra eventuale sono a carico della struttura.</w:t>
      </w:r>
    </w:p>
    <w:p>
      <w:pPr>
        <w:pStyle w:val="Heading2"/>
        <w:numPr>
          <w:ilvl w:val="1"/>
          <w:numId w:val="1"/>
        </w:numPr>
        <w:spacing w:lineRule="auto" w:line="240" w:before="171" w:after="0"/>
        <w:ind w:hanging="0" w:start="426" w:end="160"/>
        <w:rPr/>
      </w:pPr>
      <w:r>
        <w:rPr/>
        <w:t>Art. 22 – REPERTORIO</w:t>
      </w:r>
    </w:p>
    <w:p>
      <w:pPr>
        <w:pStyle w:val="normal1"/>
        <w:keepNext w:val="false"/>
        <w:keepLines w:val="false"/>
        <w:pageBreakBefore w:val="false"/>
        <w:widowControl w:val="false"/>
        <w:numPr>
          <w:ilvl w:val="1"/>
          <w:numId w:val="12"/>
        </w:numPr>
        <w:pBdr/>
        <w:shd w:val="clear" w:fill="auto"/>
        <w:tabs>
          <w:tab w:val="clear" w:pos="720"/>
          <w:tab w:val="left" w:pos="916" w:leader="none"/>
        </w:tabs>
        <w:spacing w:lineRule="auto" w:line="360" w:before="73"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numPr>
          <w:ilvl w:val="1"/>
          <w:numId w:val="12"/>
        </w:numPr>
        <w:pBdr/>
        <w:shd w:val="clear" w:fill="auto"/>
        <w:tabs>
          <w:tab w:val="clear" w:pos="720"/>
          <w:tab w:val="left" w:pos="954" w:leader="none"/>
        </w:tabs>
        <w:spacing w:lineRule="auto" w:line="360" w:before="177"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presente Accordo contrattuale consta di n. 23 articoli e n. 14 pagine</w:t>
      </w:r>
    </w:p>
    <w:p>
      <w:pPr>
        <w:pStyle w:val="normal1"/>
        <w:keepNext w:val="false"/>
        <w:keepLines w:val="false"/>
        <w:pageBreakBefore w:val="false"/>
        <w:widowControl w:val="false"/>
        <w:numPr>
          <w:ilvl w:val="1"/>
          <w:numId w:val="12"/>
        </w:numPr>
        <w:pBdr/>
        <w:shd w:val="clear" w:fill="auto"/>
        <w:tabs>
          <w:tab w:val="clear" w:pos="720"/>
          <w:tab w:val="left" w:pos="964" w:leader="none"/>
        </w:tabs>
        <w:spacing w:lineRule="auto" w:line="360" w:before="57"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presente atto è trasmesso in copia alla Direzione regionale Diritti di Cittadinanza e Coesione Sociale.                                 </w:t>
      </w:r>
    </w:p>
    <w:p>
      <w:pPr>
        <w:pStyle w:val="Heading2"/>
        <w:numPr>
          <w:ilvl w:val="1"/>
          <w:numId w:val="1"/>
        </w:numPr>
        <w:spacing w:lineRule="auto" w:line="240" w:before="120" w:after="0"/>
        <w:ind w:hanging="0" w:start="426" w:end="160"/>
        <w:rPr/>
      </w:pPr>
      <w:r>
        <w:rPr/>
        <w:t>Art. 23 – TRASPARENZA ED INTEGRITÀ</w:t>
      </w:r>
    </w:p>
    <w:p>
      <w:pPr>
        <w:pStyle w:val="normal1"/>
        <w:keepNext w:val="false"/>
        <w:keepLines w:val="false"/>
        <w:pageBreakBefore w:val="false"/>
        <w:widowControl w:val="false"/>
        <w:numPr>
          <w:ilvl w:val="1"/>
          <w:numId w:val="11"/>
        </w:numPr>
        <w:pBdr/>
        <w:shd w:val="clear" w:fill="auto"/>
        <w:tabs>
          <w:tab w:val="clear" w:pos="720"/>
          <w:tab w:val="left" w:pos="918" w:leader="none"/>
        </w:tabs>
        <w:spacing w:lineRule="auto" w:line="360" w:before="256" w:after="0"/>
        <w:ind w:hanging="0" w:start="426" w:end="160"/>
        <w:jc w:val="both"/>
        <w:rPr>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Direttore Generale</w:t>
        <w:tab/>
        <w:tab/>
        <w:tab/>
        <w:tab/>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rPr/>
      </w:pPr>
      <w:r>
        <w:rPr>
          <w:sz w:val="20"/>
          <w:szCs w:val="20"/>
        </w:rPr>
        <w:t>2) OGGETTO,3) ATTIVITA’, 4) VOLUME ECONOMICO, 5) TARIFFE, 9) CONTROLLI, 10) MODALITÀ TRASMISSIONE FLUSSI E FASCICOLO ELETTRONICO AGGIUNTO, 12) MODALITA' DI PAGAMENTO, 13) TRACCIABILITA’ FLUSSI FINANZIARI E VERIFICA ADEMPIMENTI FISCALI E CONTRIBUTIVI, 15) INADEMPIMENTI CONTRATTUALI, 16) RISOLUZIONE DEL CONTRATTO, 17)OBBLIGHI ASSICURATIVI, 20) DECORRENZA E VALIDITA’.</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tabs>
          <w:tab w:val="clear" w:pos="720"/>
          <w:tab w:val="left" w:pos="6215" w:leader="none"/>
        </w:tabs>
        <w:spacing w:lineRule="auto" w:line="240" w:before="13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 xml:space="preserve">  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Heading2"/>
        <w:numPr>
          <w:ilvl w:val="1"/>
          <w:numId w:val="1"/>
        </w:numPr>
        <w:tabs>
          <w:tab w:val="clear" w:pos="720"/>
          <w:tab w:val="left" w:pos="5495" w:leader="none"/>
        </w:tabs>
        <w:ind w:hanging="0" w:start="426" w:end="160"/>
        <w:rPr/>
      </w:pPr>
      <w:r>
        <w:rPr/>
        <w:t xml:space="preserve">            </w:t>
      </w:r>
      <w:r>
        <w:rPr/>
        <w:t>Il Direttore Generale</w:t>
        <w:tab/>
        <w:tab/>
        <w:t xml:space="preserve">  Il Legale Rappresentante </w:t>
      </w:r>
    </w:p>
    <w:sectPr>
      <w:footerReference w:type="even" r:id="rId2"/>
      <w:footerReference w:type="default" r:id="rId3"/>
      <w:footerReference w:type="first" r:id="rId4"/>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OpenSymbol">
    <w:altName w:val="Arial Unicode MS"/>
    <w:charset w:val="01"/>
    <w:family w:val="auto"/>
    <w:pitch w:val="default"/>
    <w:embedRegular r:id="rId25" w:fontKey="{19014A78-CABC-4EF0-12AC-5CD89AEFDE19}"/>
    <w:embedBold r:id="rId26" w:fontKey="{1A014A78-CABC-4EF0-12AC-5CD89AEFDE1A}"/>
  </w:font>
  <w:font w:name="Wingdings">
    <w:charset w:val="02"/>
    <w:family w:val="auto"/>
    <w:pitch w:val="default"/>
    <w:embedRegular r:id="rId27" w:fontKey="{1B014A78-CABC-4EF0-12AC-5CD89AEFDE1B}"/>
    <w:embedBold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30"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4" name="Shape 2"/>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58"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5"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16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16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30"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6" name="Shape 2"/>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58"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7" name="Shape 6"/>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16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16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
      <w:lvlJc w:val="start"/>
      <w:pPr>
        <w:tabs>
          <w:tab w:val="num" w:pos="0"/>
        </w:tabs>
        <w:ind w:start="589" w:hanging="134"/>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558" w:hanging="134"/>
      </w:pPr>
      <w:rPr>
        <w:rFonts w:ascii="Wingdings" w:hAnsi="Wingdings" w:cs="Wingdings" w:hint="default"/>
      </w:rPr>
    </w:lvl>
    <w:lvl w:ilvl="2">
      <w:start w:val="1"/>
      <w:numFmt w:val="bullet"/>
      <w:lvlText w:val="l"/>
      <w:lvlJc w:val="start"/>
      <w:pPr>
        <w:tabs>
          <w:tab w:val="num" w:pos="0"/>
        </w:tabs>
        <w:ind w:start="2537" w:hanging="134"/>
      </w:pPr>
      <w:rPr>
        <w:rFonts w:ascii="Wingdings" w:hAnsi="Wingdings" w:cs="Wingdings" w:hint="default"/>
      </w:rPr>
    </w:lvl>
    <w:lvl w:ilvl="3">
      <w:start w:val="1"/>
      <w:numFmt w:val="bullet"/>
      <w:lvlText w:val="l"/>
      <w:lvlJc w:val="start"/>
      <w:pPr>
        <w:tabs>
          <w:tab w:val="num" w:pos="0"/>
        </w:tabs>
        <w:ind w:start="3515" w:hanging="134"/>
      </w:pPr>
      <w:rPr>
        <w:rFonts w:ascii="Wingdings" w:hAnsi="Wingdings" w:cs="Wingdings" w:hint="default"/>
      </w:rPr>
    </w:lvl>
    <w:lvl w:ilvl="4">
      <w:start w:val="1"/>
      <w:numFmt w:val="bullet"/>
      <w:lvlText w:val="l"/>
      <w:lvlJc w:val="start"/>
      <w:pPr>
        <w:tabs>
          <w:tab w:val="num" w:pos="0"/>
        </w:tabs>
        <w:ind w:start="4494" w:hanging="134"/>
      </w:pPr>
      <w:rPr>
        <w:rFonts w:ascii="Wingdings" w:hAnsi="Wingdings" w:cs="Wingdings" w:hint="default"/>
      </w:rPr>
    </w:lvl>
    <w:lvl w:ilvl="5">
      <w:start w:val="1"/>
      <w:numFmt w:val="bullet"/>
      <w:lvlText w:val="l"/>
      <w:lvlJc w:val="start"/>
      <w:pPr>
        <w:tabs>
          <w:tab w:val="num" w:pos="0"/>
        </w:tabs>
        <w:ind w:start="5472" w:hanging="134"/>
      </w:pPr>
      <w:rPr>
        <w:rFonts w:ascii="Wingdings" w:hAnsi="Wingdings" w:cs="Wingdings" w:hint="default"/>
      </w:rPr>
    </w:lvl>
    <w:lvl w:ilvl="6">
      <w:start w:val="1"/>
      <w:numFmt w:val="bullet"/>
      <w:lvlText w:val="l"/>
      <w:lvlJc w:val="start"/>
      <w:pPr>
        <w:tabs>
          <w:tab w:val="num" w:pos="0"/>
        </w:tabs>
        <w:ind w:start="6451" w:hanging="134"/>
      </w:pPr>
      <w:rPr>
        <w:rFonts w:ascii="Wingdings" w:hAnsi="Wingdings" w:cs="Wingdings" w:hint="default"/>
      </w:rPr>
    </w:lvl>
    <w:lvl w:ilvl="7">
      <w:start w:val="1"/>
      <w:numFmt w:val="bullet"/>
      <w:lvlText w:val="l"/>
      <w:lvlJc w:val="start"/>
      <w:pPr>
        <w:tabs>
          <w:tab w:val="num" w:pos="0"/>
        </w:tabs>
        <w:ind w:start="7429" w:hanging="134"/>
      </w:pPr>
      <w:rPr>
        <w:rFonts w:ascii="Wingdings" w:hAnsi="Wingdings" w:cs="Wingdings" w:hint="default"/>
      </w:rPr>
    </w:lvl>
    <w:lvl w:ilvl="8">
      <w:start w:val="1"/>
      <w:numFmt w:val="bullet"/>
      <w:lvlText w:val="l"/>
      <w:lvlJc w:val="start"/>
      <w:pPr>
        <w:tabs>
          <w:tab w:val="num" w:pos="0"/>
        </w:tabs>
        <w:ind w:start="8408" w:hanging="134"/>
      </w:pPr>
      <w:rPr>
        <w:rFonts w:ascii="Wingdings" w:hAnsi="Wingdings" w:cs="Wingdings" w:hint="default"/>
      </w:rPr>
    </w:lvl>
  </w:abstractNum>
  <w:abstractNum w:abstractNumId="3">
    <w:lvl w:ilvl="0">
      <w:start w:val="10"/>
      <w:numFmt w:val="decimal"/>
      <w:lvlText w:val="%1"/>
      <w:lvlJc w:val="start"/>
      <w:pPr>
        <w:tabs>
          <w:tab w:val="num" w:pos="0"/>
        </w:tabs>
        <w:ind w:start="456" w:hanging="496"/>
      </w:pPr>
      <w:rPr/>
    </w:lvl>
    <w:lvl w:ilvl="1">
      <w:start w:val="1"/>
      <w:numFmt w:val="decimal"/>
      <w:lvlText w:val="%1.%2"/>
      <w:lvlJc w:val="start"/>
      <w:pPr>
        <w:tabs>
          <w:tab w:val="num" w:pos="0"/>
        </w:tabs>
        <w:ind w:start="456" w:hanging="496"/>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441" w:hanging="496"/>
      </w:pPr>
      <w:rPr>
        <w:rFonts w:ascii="Wingdings" w:hAnsi="Wingdings" w:cs="Wingdings" w:hint="default"/>
      </w:rPr>
    </w:lvl>
    <w:lvl w:ilvl="3">
      <w:start w:val="1"/>
      <w:numFmt w:val="bullet"/>
      <w:lvlText w:val="l"/>
      <w:lvlJc w:val="start"/>
      <w:pPr>
        <w:tabs>
          <w:tab w:val="num" w:pos="0"/>
        </w:tabs>
        <w:ind w:start="3431" w:hanging="496"/>
      </w:pPr>
      <w:rPr>
        <w:rFonts w:ascii="Wingdings" w:hAnsi="Wingdings" w:cs="Wingdings" w:hint="default"/>
      </w:rPr>
    </w:lvl>
    <w:lvl w:ilvl="4">
      <w:start w:val="1"/>
      <w:numFmt w:val="bullet"/>
      <w:lvlText w:val="l"/>
      <w:lvlJc w:val="start"/>
      <w:pPr>
        <w:tabs>
          <w:tab w:val="num" w:pos="0"/>
        </w:tabs>
        <w:ind w:start="4422" w:hanging="496"/>
      </w:pPr>
      <w:rPr>
        <w:rFonts w:ascii="Wingdings" w:hAnsi="Wingdings" w:cs="Wingdings" w:hint="default"/>
      </w:rPr>
    </w:lvl>
    <w:lvl w:ilvl="5">
      <w:start w:val="1"/>
      <w:numFmt w:val="bullet"/>
      <w:lvlText w:val="l"/>
      <w:lvlJc w:val="start"/>
      <w:pPr>
        <w:tabs>
          <w:tab w:val="num" w:pos="0"/>
        </w:tabs>
        <w:ind w:start="5412" w:hanging="496"/>
      </w:pPr>
      <w:rPr>
        <w:rFonts w:ascii="Wingdings" w:hAnsi="Wingdings" w:cs="Wingdings" w:hint="default"/>
      </w:rPr>
    </w:lvl>
    <w:lvl w:ilvl="6">
      <w:start w:val="1"/>
      <w:numFmt w:val="bullet"/>
      <w:lvlText w:val="l"/>
      <w:lvlJc w:val="start"/>
      <w:pPr>
        <w:tabs>
          <w:tab w:val="num" w:pos="0"/>
        </w:tabs>
        <w:ind w:start="6403" w:hanging="496"/>
      </w:pPr>
      <w:rPr>
        <w:rFonts w:ascii="Wingdings" w:hAnsi="Wingdings" w:cs="Wingdings" w:hint="default"/>
      </w:rPr>
    </w:lvl>
    <w:lvl w:ilvl="7">
      <w:start w:val="1"/>
      <w:numFmt w:val="bullet"/>
      <w:lvlText w:val="l"/>
      <w:lvlJc w:val="start"/>
      <w:pPr>
        <w:tabs>
          <w:tab w:val="num" w:pos="0"/>
        </w:tabs>
        <w:ind w:start="7393" w:hanging="496"/>
      </w:pPr>
      <w:rPr>
        <w:rFonts w:ascii="Wingdings" w:hAnsi="Wingdings" w:cs="Wingdings" w:hint="default"/>
      </w:rPr>
    </w:lvl>
    <w:lvl w:ilvl="8">
      <w:start w:val="1"/>
      <w:numFmt w:val="bullet"/>
      <w:lvlText w:val="l"/>
      <w:lvlJc w:val="start"/>
      <w:pPr>
        <w:tabs>
          <w:tab w:val="num" w:pos="0"/>
        </w:tabs>
        <w:ind w:start="8384" w:hanging="496"/>
      </w:pPr>
      <w:rPr>
        <w:rFonts w:ascii="Wingdings" w:hAnsi="Wingdings" w:cs="Wingdings" w:hint="default"/>
      </w:rPr>
    </w:lvl>
  </w:abstractNum>
  <w:abstractNum w:abstractNumId="4">
    <w:lvl w:ilvl="0">
      <w:start w:val="8"/>
      <w:numFmt w:val="decimal"/>
      <w:lvlText w:val="%1"/>
      <w:lvlJc w:val="start"/>
      <w:pPr>
        <w:tabs>
          <w:tab w:val="num" w:pos="0"/>
        </w:tabs>
        <w:ind w:start="456" w:hanging="348"/>
      </w:pPr>
      <w:rPr/>
    </w:lvl>
    <w:lvl w:ilvl="1">
      <w:start w:val="1"/>
      <w:numFmt w:val="decimal"/>
      <w:lvlText w:val="%1.%2"/>
      <w:lvlJc w:val="start"/>
      <w:pPr>
        <w:tabs>
          <w:tab w:val="num" w:pos="0"/>
        </w:tabs>
        <w:ind w:start="456" w:hanging="348"/>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441" w:hanging="348"/>
      </w:pPr>
      <w:rPr>
        <w:rFonts w:ascii="Wingdings" w:hAnsi="Wingdings" w:cs="Wingdings" w:hint="default"/>
      </w:rPr>
    </w:lvl>
    <w:lvl w:ilvl="3">
      <w:start w:val="1"/>
      <w:numFmt w:val="bullet"/>
      <w:lvlText w:val="l"/>
      <w:lvlJc w:val="start"/>
      <w:pPr>
        <w:tabs>
          <w:tab w:val="num" w:pos="0"/>
        </w:tabs>
        <w:ind w:start="3431" w:hanging="348"/>
      </w:pPr>
      <w:rPr>
        <w:rFonts w:ascii="Wingdings" w:hAnsi="Wingdings" w:cs="Wingdings" w:hint="default"/>
      </w:rPr>
    </w:lvl>
    <w:lvl w:ilvl="4">
      <w:start w:val="1"/>
      <w:numFmt w:val="bullet"/>
      <w:lvlText w:val="l"/>
      <w:lvlJc w:val="start"/>
      <w:pPr>
        <w:tabs>
          <w:tab w:val="num" w:pos="0"/>
        </w:tabs>
        <w:ind w:start="4422" w:hanging="348"/>
      </w:pPr>
      <w:rPr>
        <w:rFonts w:ascii="Wingdings" w:hAnsi="Wingdings" w:cs="Wingdings" w:hint="default"/>
      </w:rPr>
    </w:lvl>
    <w:lvl w:ilvl="5">
      <w:start w:val="1"/>
      <w:numFmt w:val="bullet"/>
      <w:lvlText w:val="l"/>
      <w:lvlJc w:val="start"/>
      <w:pPr>
        <w:tabs>
          <w:tab w:val="num" w:pos="0"/>
        </w:tabs>
        <w:ind w:start="5412" w:hanging="348"/>
      </w:pPr>
      <w:rPr>
        <w:rFonts w:ascii="Wingdings" w:hAnsi="Wingdings" w:cs="Wingdings" w:hint="default"/>
      </w:rPr>
    </w:lvl>
    <w:lvl w:ilvl="6">
      <w:start w:val="1"/>
      <w:numFmt w:val="bullet"/>
      <w:lvlText w:val="l"/>
      <w:lvlJc w:val="start"/>
      <w:pPr>
        <w:tabs>
          <w:tab w:val="num" w:pos="0"/>
        </w:tabs>
        <w:ind w:start="6403" w:hanging="348"/>
      </w:pPr>
      <w:rPr>
        <w:rFonts w:ascii="Wingdings" w:hAnsi="Wingdings" w:cs="Wingdings" w:hint="default"/>
      </w:rPr>
    </w:lvl>
    <w:lvl w:ilvl="7">
      <w:start w:val="1"/>
      <w:numFmt w:val="bullet"/>
      <w:lvlText w:val="l"/>
      <w:lvlJc w:val="start"/>
      <w:pPr>
        <w:tabs>
          <w:tab w:val="num" w:pos="0"/>
        </w:tabs>
        <w:ind w:start="7393" w:hanging="348"/>
      </w:pPr>
      <w:rPr>
        <w:rFonts w:ascii="Wingdings" w:hAnsi="Wingdings" w:cs="Wingdings" w:hint="default"/>
      </w:rPr>
    </w:lvl>
    <w:lvl w:ilvl="8">
      <w:start w:val="1"/>
      <w:numFmt w:val="bullet"/>
      <w:lvlText w:val="l"/>
      <w:lvlJc w:val="start"/>
      <w:pPr>
        <w:tabs>
          <w:tab w:val="num" w:pos="0"/>
        </w:tabs>
        <w:ind w:start="8384" w:hanging="348"/>
      </w:pPr>
      <w:rPr>
        <w:rFonts w:ascii="Wingdings" w:hAnsi="Wingdings" w:cs="Wingdings" w:hint="default"/>
      </w:rPr>
    </w:lvl>
  </w:abstractNum>
  <w:abstractNum w:abstractNumId="5">
    <w:lvl w:ilvl="0">
      <w:start w:val="4"/>
      <w:numFmt w:val="decimal"/>
      <w:lvlText w:val="%1"/>
      <w:lvlJc w:val="start"/>
      <w:pPr>
        <w:tabs>
          <w:tab w:val="num" w:pos="0"/>
        </w:tabs>
        <w:ind w:start="456" w:hanging="362"/>
      </w:pPr>
      <w:rPr/>
    </w:lvl>
    <w:lvl w:ilvl="1">
      <w:start w:val="1"/>
      <w:numFmt w:val="decimal"/>
      <w:lvlText w:val="%1.%2"/>
      <w:lvlJc w:val="start"/>
      <w:pPr>
        <w:tabs>
          <w:tab w:val="num" w:pos="0"/>
        </w:tabs>
        <w:ind w:start="456" w:hanging="362"/>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441" w:hanging="362"/>
      </w:pPr>
      <w:rPr>
        <w:rFonts w:ascii="Wingdings" w:hAnsi="Wingdings" w:cs="Wingdings" w:hint="default"/>
      </w:rPr>
    </w:lvl>
    <w:lvl w:ilvl="3">
      <w:start w:val="1"/>
      <w:numFmt w:val="bullet"/>
      <w:lvlText w:val="l"/>
      <w:lvlJc w:val="start"/>
      <w:pPr>
        <w:tabs>
          <w:tab w:val="num" w:pos="0"/>
        </w:tabs>
        <w:ind w:start="3431" w:hanging="362"/>
      </w:pPr>
      <w:rPr>
        <w:rFonts w:ascii="Wingdings" w:hAnsi="Wingdings" w:cs="Wingdings" w:hint="default"/>
      </w:rPr>
    </w:lvl>
    <w:lvl w:ilvl="4">
      <w:start w:val="1"/>
      <w:numFmt w:val="bullet"/>
      <w:lvlText w:val="l"/>
      <w:lvlJc w:val="start"/>
      <w:pPr>
        <w:tabs>
          <w:tab w:val="num" w:pos="0"/>
        </w:tabs>
        <w:ind w:start="4422" w:hanging="362"/>
      </w:pPr>
      <w:rPr>
        <w:rFonts w:ascii="Wingdings" w:hAnsi="Wingdings" w:cs="Wingdings" w:hint="default"/>
      </w:rPr>
    </w:lvl>
    <w:lvl w:ilvl="5">
      <w:start w:val="1"/>
      <w:numFmt w:val="bullet"/>
      <w:lvlText w:val="l"/>
      <w:lvlJc w:val="start"/>
      <w:pPr>
        <w:tabs>
          <w:tab w:val="num" w:pos="0"/>
        </w:tabs>
        <w:ind w:start="5412" w:hanging="362"/>
      </w:pPr>
      <w:rPr>
        <w:rFonts w:ascii="Wingdings" w:hAnsi="Wingdings" w:cs="Wingdings" w:hint="default"/>
      </w:rPr>
    </w:lvl>
    <w:lvl w:ilvl="6">
      <w:start w:val="1"/>
      <w:numFmt w:val="bullet"/>
      <w:lvlText w:val="l"/>
      <w:lvlJc w:val="start"/>
      <w:pPr>
        <w:tabs>
          <w:tab w:val="num" w:pos="0"/>
        </w:tabs>
        <w:ind w:start="6403" w:hanging="362"/>
      </w:pPr>
      <w:rPr>
        <w:rFonts w:ascii="Wingdings" w:hAnsi="Wingdings" w:cs="Wingdings" w:hint="default"/>
      </w:rPr>
    </w:lvl>
    <w:lvl w:ilvl="7">
      <w:start w:val="1"/>
      <w:numFmt w:val="bullet"/>
      <w:lvlText w:val="l"/>
      <w:lvlJc w:val="start"/>
      <w:pPr>
        <w:tabs>
          <w:tab w:val="num" w:pos="0"/>
        </w:tabs>
        <w:ind w:start="7393" w:hanging="362"/>
      </w:pPr>
      <w:rPr>
        <w:rFonts w:ascii="Wingdings" w:hAnsi="Wingdings" w:cs="Wingdings" w:hint="default"/>
      </w:rPr>
    </w:lvl>
    <w:lvl w:ilvl="8">
      <w:start w:val="1"/>
      <w:numFmt w:val="bullet"/>
      <w:lvlText w:val="l"/>
      <w:lvlJc w:val="start"/>
      <w:pPr>
        <w:tabs>
          <w:tab w:val="num" w:pos="0"/>
        </w:tabs>
        <w:ind w:start="8384" w:hanging="362"/>
      </w:pPr>
      <w:rPr>
        <w:rFonts w:ascii="Wingdings" w:hAnsi="Wingdings" w:cs="Wingdings" w:hint="default"/>
      </w:rPr>
    </w:lvl>
  </w:abstractNum>
  <w:abstractNum w:abstractNumId="6">
    <w:lvl w:ilvl="0">
      <w:start w:val="3"/>
      <w:numFmt w:val="decimal"/>
      <w:lvlText w:val="%1"/>
      <w:lvlJc w:val="start"/>
      <w:pPr>
        <w:tabs>
          <w:tab w:val="num" w:pos="0"/>
        </w:tabs>
        <w:ind w:start="456" w:hanging="396"/>
      </w:pPr>
      <w:rPr/>
    </w:lvl>
    <w:lvl w:ilvl="1">
      <w:start w:val="1"/>
      <w:numFmt w:val="decimal"/>
      <w:lvlText w:val="%1.%2"/>
      <w:lvlJc w:val="start"/>
      <w:pPr>
        <w:tabs>
          <w:tab w:val="num" w:pos="0"/>
        </w:tabs>
        <w:ind w:start="456" w:hanging="396"/>
      </w:pPr>
      <w:rPr>
        <w:rFonts w:ascii="Garamond" w:hAnsi="Garamond" w:eastAsia="Garamond" w:cs="Garamond"/>
        <w:b w:val="false"/>
        <w:bCs w:val="false"/>
        <w:i w:val="false"/>
        <w:iCs w:val="false"/>
        <w:sz w:val="24"/>
        <w:szCs w:val="24"/>
      </w:rPr>
    </w:lvl>
    <w:lvl w:ilvl="2">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7">
    <w:lvl w:ilvl="0">
      <w:start w:val="2"/>
      <w:numFmt w:val="decimal"/>
      <w:lvlText w:val="%1"/>
      <w:lvlJc w:val="start"/>
      <w:pPr>
        <w:tabs>
          <w:tab w:val="num" w:pos="0"/>
        </w:tabs>
        <w:ind w:start="809" w:hanging="354"/>
      </w:pPr>
      <w:rPr/>
    </w:lvl>
    <w:lvl w:ilvl="1">
      <w:start w:val="1"/>
      <w:numFmt w:val="decimal"/>
      <w:lvlText w:val="%1.%2"/>
      <w:lvlJc w:val="start"/>
      <w:pPr>
        <w:tabs>
          <w:tab w:val="num" w:pos="0"/>
        </w:tabs>
        <w:ind w:start="809" w:hanging="354"/>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713" w:hanging="354"/>
      </w:pPr>
      <w:rPr>
        <w:rFonts w:ascii="Wingdings" w:hAnsi="Wingdings" w:cs="Wingdings" w:hint="default"/>
      </w:rPr>
    </w:lvl>
    <w:lvl w:ilvl="3">
      <w:start w:val="1"/>
      <w:numFmt w:val="bullet"/>
      <w:lvlText w:val="l"/>
      <w:lvlJc w:val="start"/>
      <w:pPr>
        <w:tabs>
          <w:tab w:val="num" w:pos="0"/>
        </w:tabs>
        <w:ind w:start="3669" w:hanging="354"/>
      </w:pPr>
      <w:rPr>
        <w:rFonts w:ascii="Wingdings" w:hAnsi="Wingdings" w:cs="Wingdings" w:hint="default"/>
      </w:rPr>
    </w:lvl>
    <w:lvl w:ilvl="4">
      <w:start w:val="1"/>
      <w:numFmt w:val="bullet"/>
      <w:lvlText w:val="l"/>
      <w:lvlJc w:val="start"/>
      <w:pPr>
        <w:tabs>
          <w:tab w:val="num" w:pos="0"/>
        </w:tabs>
        <w:ind w:start="4626" w:hanging="354"/>
      </w:pPr>
      <w:rPr>
        <w:rFonts w:ascii="Wingdings" w:hAnsi="Wingdings" w:cs="Wingdings" w:hint="default"/>
      </w:rPr>
    </w:lvl>
    <w:lvl w:ilvl="5">
      <w:start w:val="1"/>
      <w:numFmt w:val="bullet"/>
      <w:lvlText w:val="l"/>
      <w:lvlJc w:val="start"/>
      <w:pPr>
        <w:tabs>
          <w:tab w:val="num" w:pos="0"/>
        </w:tabs>
        <w:ind w:start="5582" w:hanging="354"/>
      </w:pPr>
      <w:rPr>
        <w:rFonts w:ascii="Wingdings" w:hAnsi="Wingdings" w:cs="Wingdings" w:hint="default"/>
      </w:rPr>
    </w:lvl>
    <w:lvl w:ilvl="6">
      <w:start w:val="1"/>
      <w:numFmt w:val="bullet"/>
      <w:lvlText w:val="l"/>
      <w:lvlJc w:val="start"/>
      <w:pPr>
        <w:tabs>
          <w:tab w:val="num" w:pos="0"/>
        </w:tabs>
        <w:ind w:start="6539" w:hanging="354"/>
      </w:pPr>
      <w:rPr>
        <w:rFonts w:ascii="Wingdings" w:hAnsi="Wingdings" w:cs="Wingdings" w:hint="default"/>
      </w:rPr>
    </w:lvl>
    <w:lvl w:ilvl="7">
      <w:start w:val="1"/>
      <w:numFmt w:val="bullet"/>
      <w:lvlText w:val="l"/>
      <w:lvlJc w:val="start"/>
      <w:pPr>
        <w:tabs>
          <w:tab w:val="num" w:pos="0"/>
        </w:tabs>
        <w:ind w:start="7495" w:hanging="354"/>
      </w:pPr>
      <w:rPr>
        <w:rFonts w:ascii="Wingdings" w:hAnsi="Wingdings" w:cs="Wingdings" w:hint="default"/>
      </w:rPr>
    </w:lvl>
    <w:lvl w:ilvl="8">
      <w:start w:val="1"/>
      <w:numFmt w:val="bullet"/>
      <w:lvlText w:val="l"/>
      <w:lvlJc w:val="start"/>
      <w:pPr>
        <w:tabs>
          <w:tab w:val="num" w:pos="0"/>
        </w:tabs>
        <w:ind w:start="8452" w:hanging="354"/>
      </w:pPr>
      <w:rPr>
        <w:rFonts w:ascii="Wingdings" w:hAnsi="Wingdings" w:cs="Wingdings" w:hint="default"/>
      </w:rPr>
    </w:lvl>
  </w:abstractNum>
  <w:abstractNum w:abstractNumId="8">
    <w:lvl w:ilvl="0">
      <w:start w:val="1"/>
      <w:numFmt w:val="decimal"/>
      <w:lvlText w:val="%1"/>
      <w:lvlJc w:val="start"/>
      <w:pPr>
        <w:tabs>
          <w:tab w:val="num" w:pos="0"/>
        </w:tabs>
        <w:ind w:start="793" w:hanging="338"/>
      </w:pPr>
      <w:rPr/>
    </w:lvl>
    <w:lvl w:ilvl="1">
      <w:start w:val="1"/>
      <w:numFmt w:val="decimal"/>
      <w:lvlText w:val="%1.%2"/>
      <w:lvlJc w:val="start"/>
      <w:pPr>
        <w:tabs>
          <w:tab w:val="num" w:pos="0"/>
        </w:tabs>
        <w:ind w:start="793" w:hanging="338"/>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713" w:hanging="338"/>
      </w:pPr>
      <w:rPr>
        <w:rFonts w:ascii="Wingdings" w:hAnsi="Wingdings" w:cs="Wingdings" w:hint="default"/>
      </w:rPr>
    </w:lvl>
    <w:lvl w:ilvl="3">
      <w:start w:val="1"/>
      <w:numFmt w:val="bullet"/>
      <w:lvlText w:val="l"/>
      <w:lvlJc w:val="start"/>
      <w:pPr>
        <w:tabs>
          <w:tab w:val="num" w:pos="0"/>
        </w:tabs>
        <w:ind w:start="3669" w:hanging="338"/>
      </w:pPr>
      <w:rPr>
        <w:rFonts w:ascii="Wingdings" w:hAnsi="Wingdings" w:cs="Wingdings" w:hint="default"/>
      </w:rPr>
    </w:lvl>
    <w:lvl w:ilvl="4">
      <w:start w:val="1"/>
      <w:numFmt w:val="bullet"/>
      <w:lvlText w:val="l"/>
      <w:lvlJc w:val="start"/>
      <w:pPr>
        <w:tabs>
          <w:tab w:val="num" w:pos="0"/>
        </w:tabs>
        <w:ind w:start="4626" w:hanging="338"/>
      </w:pPr>
      <w:rPr>
        <w:rFonts w:ascii="Wingdings" w:hAnsi="Wingdings" w:cs="Wingdings" w:hint="default"/>
      </w:rPr>
    </w:lvl>
    <w:lvl w:ilvl="5">
      <w:start w:val="1"/>
      <w:numFmt w:val="bullet"/>
      <w:lvlText w:val="l"/>
      <w:lvlJc w:val="start"/>
      <w:pPr>
        <w:tabs>
          <w:tab w:val="num" w:pos="0"/>
        </w:tabs>
        <w:ind w:start="5582" w:hanging="338"/>
      </w:pPr>
      <w:rPr>
        <w:rFonts w:ascii="Wingdings" w:hAnsi="Wingdings" w:cs="Wingdings" w:hint="default"/>
      </w:rPr>
    </w:lvl>
    <w:lvl w:ilvl="6">
      <w:start w:val="1"/>
      <w:numFmt w:val="bullet"/>
      <w:lvlText w:val="l"/>
      <w:lvlJc w:val="start"/>
      <w:pPr>
        <w:tabs>
          <w:tab w:val="num" w:pos="0"/>
        </w:tabs>
        <w:ind w:start="6539" w:hanging="338"/>
      </w:pPr>
      <w:rPr>
        <w:rFonts w:ascii="Wingdings" w:hAnsi="Wingdings" w:cs="Wingdings" w:hint="default"/>
      </w:rPr>
    </w:lvl>
    <w:lvl w:ilvl="7">
      <w:start w:val="1"/>
      <w:numFmt w:val="bullet"/>
      <w:lvlText w:val="l"/>
      <w:lvlJc w:val="start"/>
      <w:pPr>
        <w:tabs>
          <w:tab w:val="num" w:pos="0"/>
        </w:tabs>
        <w:ind w:start="7495" w:hanging="338"/>
      </w:pPr>
      <w:rPr>
        <w:rFonts w:ascii="Wingdings" w:hAnsi="Wingdings" w:cs="Wingdings" w:hint="default"/>
      </w:rPr>
    </w:lvl>
    <w:lvl w:ilvl="8">
      <w:start w:val="1"/>
      <w:numFmt w:val="bullet"/>
      <w:lvlText w:val="l"/>
      <w:lvlJc w:val="start"/>
      <w:pPr>
        <w:tabs>
          <w:tab w:val="num" w:pos="0"/>
        </w:tabs>
        <w:ind w:start="8452" w:hanging="338"/>
      </w:pPr>
      <w:rPr>
        <w:rFonts w:ascii="Wingdings" w:hAnsi="Wingdings" w:cs="Wingdings" w:hint="default"/>
      </w:rPr>
    </w:lvl>
  </w:abstractNum>
  <w:abstractNum w:abstractNumId="9">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10">
    <w:lvl w:ilvl="0">
      <w:start w:val="1"/>
      <w:numFmt w:val="bullet"/>
      <w:lvlText w:val="-"/>
      <w:lvlJc w:val="start"/>
      <w:pPr>
        <w:tabs>
          <w:tab w:val="num" w:pos="0"/>
        </w:tabs>
        <w:ind w:start="456" w:hanging="23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238"/>
      </w:pPr>
      <w:rPr>
        <w:rFonts w:ascii="Wingdings" w:hAnsi="Wingdings" w:cs="Wingdings" w:hint="default"/>
      </w:rPr>
    </w:lvl>
    <w:lvl w:ilvl="2">
      <w:start w:val="1"/>
      <w:numFmt w:val="bullet"/>
      <w:lvlText w:val="l"/>
      <w:lvlJc w:val="start"/>
      <w:pPr>
        <w:tabs>
          <w:tab w:val="num" w:pos="0"/>
        </w:tabs>
        <w:ind w:start="2441" w:hanging="238"/>
      </w:pPr>
      <w:rPr>
        <w:rFonts w:ascii="Wingdings" w:hAnsi="Wingdings" w:cs="Wingdings" w:hint="default"/>
      </w:rPr>
    </w:lvl>
    <w:lvl w:ilvl="3">
      <w:start w:val="1"/>
      <w:numFmt w:val="bullet"/>
      <w:lvlText w:val="l"/>
      <w:lvlJc w:val="start"/>
      <w:pPr>
        <w:tabs>
          <w:tab w:val="num" w:pos="0"/>
        </w:tabs>
        <w:ind w:start="3431" w:hanging="238"/>
      </w:pPr>
      <w:rPr>
        <w:rFonts w:ascii="Wingdings" w:hAnsi="Wingdings" w:cs="Wingdings" w:hint="default"/>
      </w:rPr>
    </w:lvl>
    <w:lvl w:ilvl="4">
      <w:start w:val="1"/>
      <w:numFmt w:val="bullet"/>
      <w:lvlText w:val="l"/>
      <w:lvlJc w:val="start"/>
      <w:pPr>
        <w:tabs>
          <w:tab w:val="num" w:pos="0"/>
        </w:tabs>
        <w:ind w:start="4422" w:hanging="238"/>
      </w:pPr>
      <w:rPr>
        <w:rFonts w:ascii="Wingdings" w:hAnsi="Wingdings" w:cs="Wingdings" w:hint="default"/>
      </w:rPr>
    </w:lvl>
    <w:lvl w:ilvl="5">
      <w:start w:val="1"/>
      <w:numFmt w:val="bullet"/>
      <w:lvlText w:val="l"/>
      <w:lvlJc w:val="start"/>
      <w:pPr>
        <w:tabs>
          <w:tab w:val="num" w:pos="0"/>
        </w:tabs>
        <w:ind w:start="5412" w:hanging="238"/>
      </w:pPr>
      <w:rPr>
        <w:rFonts w:ascii="Wingdings" w:hAnsi="Wingdings" w:cs="Wingdings" w:hint="default"/>
      </w:rPr>
    </w:lvl>
    <w:lvl w:ilvl="6">
      <w:start w:val="1"/>
      <w:numFmt w:val="bullet"/>
      <w:lvlText w:val="l"/>
      <w:lvlJc w:val="start"/>
      <w:pPr>
        <w:tabs>
          <w:tab w:val="num" w:pos="0"/>
        </w:tabs>
        <w:ind w:start="6403" w:hanging="238"/>
      </w:pPr>
      <w:rPr>
        <w:rFonts w:ascii="Wingdings" w:hAnsi="Wingdings" w:cs="Wingdings" w:hint="default"/>
      </w:rPr>
    </w:lvl>
    <w:lvl w:ilvl="7">
      <w:start w:val="1"/>
      <w:numFmt w:val="bullet"/>
      <w:lvlText w:val="l"/>
      <w:lvlJc w:val="start"/>
      <w:pPr>
        <w:tabs>
          <w:tab w:val="num" w:pos="0"/>
        </w:tabs>
        <w:ind w:start="7393" w:hanging="238"/>
      </w:pPr>
      <w:rPr>
        <w:rFonts w:ascii="Wingdings" w:hAnsi="Wingdings" w:cs="Wingdings" w:hint="default"/>
      </w:rPr>
    </w:lvl>
    <w:lvl w:ilvl="8">
      <w:start w:val="1"/>
      <w:numFmt w:val="bullet"/>
      <w:lvlText w:val="l"/>
      <w:lvlJc w:val="start"/>
      <w:pPr>
        <w:tabs>
          <w:tab w:val="num" w:pos="0"/>
        </w:tabs>
        <w:ind w:start="8384" w:hanging="238"/>
      </w:pPr>
      <w:rPr>
        <w:rFonts w:ascii="Wingdings" w:hAnsi="Wingdings" w:cs="Wingdings" w:hint="default"/>
      </w:rPr>
    </w:lvl>
  </w:abstractNum>
  <w:abstractNum w:abstractNumId="11">
    <w:lvl w:ilvl="0">
      <w:start w:val="23"/>
      <w:numFmt w:val="decimal"/>
      <w:lvlText w:val="%1"/>
      <w:lvlJc w:val="start"/>
      <w:pPr>
        <w:tabs>
          <w:tab w:val="num" w:pos="0"/>
        </w:tabs>
        <w:ind w:start="456" w:hanging="466"/>
      </w:pPr>
      <w:rPr/>
    </w:lvl>
    <w:lvl w:ilvl="1">
      <w:start w:val="1"/>
      <w:numFmt w:val="decimal"/>
      <w:lvlText w:val="%1.%2"/>
      <w:lvlJc w:val="start"/>
      <w:pPr>
        <w:tabs>
          <w:tab w:val="num" w:pos="0"/>
        </w:tabs>
        <w:ind w:start="456" w:hanging="466"/>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441" w:hanging="466"/>
      </w:pPr>
      <w:rPr>
        <w:rFonts w:ascii="Wingdings" w:hAnsi="Wingdings" w:cs="Wingdings" w:hint="default"/>
      </w:rPr>
    </w:lvl>
    <w:lvl w:ilvl="3">
      <w:start w:val="1"/>
      <w:numFmt w:val="bullet"/>
      <w:lvlText w:val="l"/>
      <w:lvlJc w:val="start"/>
      <w:pPr>
        <w:tabs>
          <w:tab w:val="num" w:pos="0"/>
        </w:tabs>
        <w:ind w:start="3431" w:hanging="466"/>
      </w:pPr>
      <w:rPr>
        <w:rFonts w:ascii="Wingdings" w:hAnsi="Wingdings" w:cs="Wingdings" w:hint="default"/>
      </w:rPr>
    </w:lvl>
    <w:lvl w:ilvl="4">
      <w:start w:val="1"/>
      <w:numFmt w:val="bullet"/>
      <w:lvlText w:val="l"/>
      <w:lvlJc w:val="start"/>
      <w:pPr>
        <w:tabs>
          <w:tab w:val="num" w:pos="0"/>
        </w:tabs>
        <w:ind w:start="4422" w:hanging="466"/>
      </w:pPr>
      <w:rPr>
        <w:rFonts w:ascii="Wingdings" w:hAnsi="Wingdings" w:cs="Wingdings" w:hint="default"/>
      </w:rPr>
    </w:lvl>
    <w:lvl w:ilvl="5">
      <w:start w:val="1"/>
      <w:numFmt w:val="bullet"/>
      <w:lvlText w:val="l"/>
      <w:lvlJc w:val="start"/>
      <w:pPr>
        <w:tabs>
          <w:tab w:val="num" w:pos="0"/>
        </w:tabs>
        <w:ind w:start="5412" w:hanging="466"/>
      </w:pPr>
      <w:rPr>
        <w:rFonts w:ascii="Wingdings" w:hAnsi="Wingdings" w:cs="Wingdings" w:hint="default"/>
      </w:rPr>
    </w:lvl>
    <w:lvl w:ilvl="6">
      <w:start w:val="1"/>
      <w:numFmt w:val="bullet"/>
      <w:lvlText w:val="l"/>
      <w:lvlJc w:val="start"/>
      <w:pPr>
        <w:tabs>
          <w:tab w:val="num" w:pos="0"/>
        </w:tabs>
        <w:ind w:start="6403" w:hanging="466"/>
      </w:pPr>
      <w:rPr>
        <w:rFonts w:ascii="Wingdings" w:hAnsi="Wingdings" w:cs="Wingdings" w:hint="default"/>
      </w:rPr>
    </w:lvl>
    <w:lvl w:ilvl="7">
      <w:start w:val="1"/>
      <w:numFmt w:val="bullet"/>
      <w:lvlText w:val="l"/>
      <w:lvlJc w:val="start"/>
      <w:pPr>
        <w:tabs>
          <w:tab w:val="num" w:pos="0"/>
        </w:tabs>
        <w:ind w:start="7393" w:hanging="466"/>
      </w:pPr>
      <w:rPr>
        <w:rFonts w:ascii="Wingdings" w:hAnsi="Wingdings" w:cs="Wingdings" w:hint="default"/>
      </w:rPr>
    </w:lvl>
    <w:lvl w:ilvl="8">
      <w:start w:val="1"/>
      <w:numFmt w:val="bullet"/>
      <w:lvlText w:val="l"/>
      <w:lvlJc w:val="start"/>
      <w:pPr>
        <w:tabs>
          <w:tab w:val="num" w:pos="0"/>
        </w:tabs>
        <w:ind w:start="8384" w:hanging="466"/>
      </w:pPr>
      <w:rPr>
        <w:rFonts w:ascii="Wingdings" w:hAnsi="Wingdings" w:cs="Wingdings" w:hint="default"/>
      </w:rPr>
    </w:lvl>
  </w:abstractNum>
  <w:abstractNum w:abstractNumId="12">
    <w:lvl w:ilvl="0">
      <w:start w:val="22"/>
      <w:numFmt w:val="decimal"/>
      <w:lvlText w:val="%1"/>
      <w:lvlJc w:val="start"/>
      <w:pPr>
        <w:tabs>
          <w:tab w:val="num" w:pos="0"/>
        </w:tabs>
        <w:ind w:start="456" w:hanging="464"/>
      </w:pPr>
      <w:rPr/>
    </w:lvl>
    <w:lvl w:ilvl="1">
      <w:start w:val="1"/>
      <w:numFmt w:val="decimal"/>
      <w:lvlText w:val="%1.%2"/>
      <w:lvlJc w:val="start"/>
      <w:pPr>
        <w:tabs>
          <w:tab w:val="num" w:pos="0"/>
        </w:tabs>
        <w:ind w:start="456" w:hanging="464"/>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441" w:hanging="464"/>
      </w:pPr>
      <w:rPr>
        <w:rFonts w:ascii="Wingdings" w:hAnsi="Wingdings" w:cs="Wingdings" w:hint="default"/>
      </w:rPr>
    </w:lvl>
    <w:lvl w:ilvl="3">
      <w:start w:val="1"/>
      <w:numFmt w:val="bullet"/>
      <w:lvlText w:val="l"/>
      <w:lvlJc w:val="start"/>
      <w:pPr>
        <w:tabs>
          <w:tab w:val="num" w:pos="0"/>
        </w:tabs>
        <w:ind w:start="3431" w:hanging="464"/>
      </w:pPr>
      <w:rPr>
        <w:rFonts w:ascii="Wingdings" w:hAnsi="Wingdings" w:cs="Wingdings" w:hint="default"/>
      </w:rPr>
    </w:lvl>
    <w:lvl w:ilvl="4">
      <w:start w:val="1"/>
      <w:numFmt w:val="bullet"/>
      <w:lvlText w:val="l"/>
      <w:lvlJc w:val="start"/>
      <w:pPr>
        <w:tabs>
          <w:tab w:val="num" w:pos="0"/>
        </w:tabs>
        <w:ind w:start="4422" w:hanging="464"/>
      </w:pPr>
      <w:rPr>
        <w:rFonts w:ascii="Wingdings" w:hAnsi="Wingdings" w:cs="Wingdings" w:hint="default"/>
      </w:rPr>
    </w:lvl>
    <w:lvl w:ilvl="5">
      <w:start w:val="1"/>
      <w:numFmt w:val="bullet"/>
      <w:lvlText w:val="l"/>
      <w:lvlJc w:val="start"/>
      <w:pPr>
        <w:tabs>
          <w:tab w:val="num" w:pos="0"/>
        </w:tabs>
        <w:ind w:start="5412" w:hanging="464"/>
      </w:pPr>
      <w:rPr>
        <w:rFonts w:ascii="Wingdings" w:hAnsi="Wingdings" w:cs="Wingdings" w:hint="default"/>
      </w:rPr>
    </w:lvl>
    <w:lvl w:ilvl="6">
      <w:start w:val="1"/>
      <w:numFmt w:val="bullet"/>
      <w:lvlText w:val="l"/>
      <w:lvlJc w:val="start"/>
      <w:pPr>
        <w:tabs>
          <w:tab w:val="num" w:pos="0"/>
        </w:tabs>
        <w:ind w:start="6403" w:hanging="464"/>
      </w:pPr>
      <w:rPr>
        <w:rFonts w:ascii="Wingdings" w:hAnsi="Wingdings" w:cs="Wingdings" w:hint="default"/>
      </w:rPr>
    </w:lvl>
    <w:lvl w:ilvl="7">
      <w:start w:val="1"/>
      <w:numFmt w:val="bullet"/>
      <w:lvlText w:val="l"/>
      <w:lvlJc w:val="start"/>
      <w:pPr>
        <w:tabs>
          <w:tab w:val="num" w:pos="0"/>
        </w:tabs>
        <w:ind w:start="7393" w:hanging="464"/>
      </w:pPr>
      <w:rPr>
        <w:rFonts w:ascii="Wingdings" w:hAnsi="Wingdings" w:cs="Wingdings" w:hint="default"/>
      </w:rPr>
    </w:lvl>
    <w:lvl w:ilvl="8">
      <w:start w:val="1"/>
      <w:numFmt w:val="bullet"/>
      <w:lvlText w:val="l"/>
      <w:lvlJc w:val="start"/>
      <w:pPr>
        <w:tabs>
          <w:tab w:val="num" w:pos="0"/>
        </w:tabs>
        <w:ind w:start="8384" w:hanging="464"/>
      </w:pPr>
      <w:rPr>
        <w:rFonts w:ascii="Wingdings" w:hAnsi="Wingdings" w:cs="Wingdings" w:hint="default"/>
      </w:rPr>
    </w:lvl>
  </w:abstractNum>
  <w:abstractNum w:abstractNumId="13">
    <w:lvl w:ilvl="0">
      <w:start w:val="1"/>
      <w:numFmt w:val="decimal"/>
      <w:lvlText w:val="%1."/>
      <w:lvlJc w:val="start"/>
      <w:pPr>
        <w:tabs>
          <w:tab w:val="num" w:pos="0"/>
        </w:tabs>
        <w:ind w:start="456" w:hanging="232"/>
      </w:pPr>
      <w:rPr>
        <w:rFonts w:ascii="Garamond" w:hAnsi="Garamond" w:eastAsia="Garamond" w:cs="Garamond"/>
        <w:b w:val="false"/>
        <w:bCs w:val="false"/>
        <w:i w:val="false"/>
        <w:iCs w:val="false"/>
        <w:sz w:val="24"/>
        <w:szCs w:val="24"/>
      </w:rPr>
    </w:lvl>
    <w:lvl w:ilvl="1">
      <w:start w:val="1"/>
      <w:numFmt w:val="bullet"/>
      <w:lvlText w:val="l"/>
      <w:lvlJc w:val="start"/>
      <w:pPr>
        <w:tabs>
          <w:tab w:val="num" w:pos="0"/>
        </w:tabs>
        <w:ind w:start="1450" w:hanging="232"/>
      </w:pPr>
      <w:rPr>
        <w:rFonts w:ascii="Wingdings" w:hAnsi="Wingdings" w:cs="Wingdings" w:hint="default"/>
      </w:rPr>
    </w:lvl>
    <w:lvl w:ilvl="2">
      <w:start w:val="1"/>
      <w:numFmt w:val="bullet"/>
      <w:lvlText w:val="l"/>
      <w:lvlJc w:val="start"/>
      <w:pPr>
        <w:tabs>
          <w:tab w:val="num" w:pos="0"/>
        </w:tabs>
        <w:ind w:start="2441" w:hanging="232"/>
      </w:pPr>
      <w:rPr>
        <w:rFonts w:ascii="Wingdings" w:hAnsi="Wingdings" w:cs="Wingdings" w:hint="default"/>
      </w:rPr>
    </w:lvl>
    <w:lvl w:ilvl="3">
      <w:start w:val="1"/>
      <w:numFmt w:val="bullet"/>
      <w:lvlText w:val="l"/>
      <w:lvlJc w:val="start"/>
      <w:pPr>
        <w:tabs>
          <w:tab w:val="num" w:pos="0"/>
        </w:tabs>
        <w:ind w:start="3431" w:hanging="232"/>
      </w:pPr>
      <w:rPr>
        <w:rFonts w:ascii="Wingdings" w:hAnsi="Wingdings" w:cs="Wingdings" w:hint="default"/>
      </w:rPr>
    </w:lvl>
    <w:lvl w:ilvl="4">
      <w:start w:val="1"/>
      <w:numFmt w:val="bullet"/>
      <w:lvlText w:val="l"/>
      <w:lvlJc w:val="start"/>
      <w:pPr>
        <w:tabs>
          <w:tab w:val="num" w:pos="0"/>
        </w:tabs>
        <w:ind w:start="4422" w:hanging="232"/>
      </w:pPr>
      <w:rPr>
        <w:rFonts w:ascii="Wingdings" w:hAnsi="Wingdings" w:cs="Wingdings" w:hint="default"/>
      </w:rPr>
    </w:lvl>
    <w:lvl w:ilvl="5">
      <w:start w:val="1"/>
      <w:numFmt w:val="bullet"/>
      <w:lvlText w:val="l"/>
      <w:lvlJc w:val="start"/>
      <w:pPr>
        <w:tabs>
          <w:tab w:val="num" w:pos="0"/>
        </w:tabs>
        <w:ind w:start="5412" w:hanging="232"/>
      </w:pPr>
      <w:rPr>
        <w:rFonts w:ascii="Wingdings" w:hAnsi="Wingdings" w:cs="Wingdings" w:hint="default"/>
      </w:rPr>
    </w:lvl>
    <w:lvl w:ilvl="6">
      <w:start w:val="1"/>
      <w:numFmt w:val="bullet"/>
      <w:lvlText w:val="l"/>
      <w:lvlJc w:val="start"/>
      <w:pPr>
        <w:tabs>
          <w:tab w:val="num" w:pos="0"/>
        </w:tabs>
        <w:ind w:start="6403" w:hanging="232"/>
      </w:pPr>
      <w:rPr>
        <w:rFonts w:ascii="Wingdings" w:hAnsi="Wingdings" w:cs="Wingdings" w:hint="default"/>
      </w:rPr>
    </w:lvl>
    <w:lvl w:ilvl="7">
      <w:start w:val="1"/>
      <w:numFmt w:val="bullet"/>
      <w:lvlText w:val="l"/>
      <w:lvlJc w:val="start"/>
      <w:pPr>
        <w:tabs>
          <w:tab w:val="num" w:pos="0"/>
        </w:tabs>
        <w:ind w:start="7393" w:hanging="232"/>
      </w:pPr>
      <w:rPr>
        <w:rFonts w:ascii="Wingdings" w:hAnsi="Wingdings" w:cs="Wingdings" w:hint="default"/>
      </w:rPr>
    </w:lvl>
    <w:lvl w:ilvl="8">
      <w:start w:val="1"/>
      <w:numFmt w:val="bullet"/>
      <w:lvlText w:val="l"/>
      <w:lvlJc w:val="start"/>
      <w:pPr>
        <w:tabs>
          <w:tab w:val="num" w:pos="0"/>
        </w:tabs>
        <w:ind w:start="8384" w:hanging="232"/>
      </w:pPr>
      <w:rPr>
        <w:rFonts w:ascii="Wingdings" w:hAnsi="Wingdings" w:cs="Wingdings" w:hint="default"/>
      </w:rPr>
    </w:lvl>
  </w:abstractNum>
  <w:abstractNum w:abstractNumId="14">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5">
    <w:lvl w:ilvl="0">
      <w:start w:val="15"/>
      <w:numFmt w:val="decimal"/>
      <w:lvlText w:val="%1"/>
      <w:lvlJc w:val="start"/>
      <w:pPr>
        <w:tabs>
          <w:tab w:val="num" w:pos="0"/>
        </w:tabs>
        <w:ind w:start="456" w:hanging="474"/>
      </w:pPr>
      <w:rPr/>
    </w:lvl>
    <w:lvl w:ilvl="1">
      <w:start w:val="1"/>
      <w:numFmt w:val="decimal"/>
      <w:lvlText w:val="%1.%2"/>
      <w:lvlJc w:val="start"/>
      <w:pPr>
        <w:tabs>
          <w:tab w:val="num" w:pos="0"/>
        </w:tabs>
        <w:ind w:start="456" w:hanging="474"/>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441" w:hanging="474"/>
      </w:pPr>
      <w:rPr>
        <w:rFonts w:ascii="Wingdings" w:hAnsi="Wingdings" w:cs="Wingdings" w:hint="default"/>
      </w:rPr>
    </w:lvl>
    <w:lvl w:ilvl="3">
      <w:start w:val="1"/>
      <w:numFmt w:val="bullet"/>
      <w:lvlText w:val="l"/>
      <w:lvlJc w:val="start"/>
      <w:pPr>
        <w:tabs>
          <w:tab w:val="num" w:pos="0"/>
        </w:tabs>
        <w:ind w:start="3431" w:hanging="474"/>
      </w:pPr>
      <w:rPr>
        <w:rFonts w:ascii="Wingdings" w:hAnsi="Wingdings" w:cs="Wingdings" w:hint="default"/>
      </w:rPr>
    </w:lvl>
    <w:lvl w:ilvl="4">
      <w:start w:val="1"/>
      <w:numFmt w:val="bullet"/>
      <w:lvlText w:val="l"/>
      <w:lvlJc w:val="start"/>
      <w:pPr>
        <w:tabs>
          <w:tab w:val="num" w:pos="0"/>
        </w:tabs>
        <w:ind w:start="4422" w:hanging="474"/>
      </w:pPr>
      <w:rPr>
        <w:rFonts w:ascii="Wingdings" w:hAnsi="Wingdings" w:cs="Wingdings" w:hint="default"/>
      </w:rPr>
    </w:lvl>
    <w:lvl w:ilvl="5">
      <w:start w:val="1"/>
      <w:numFmt w:val="bullet"/>
      <w:lvlText w:val="l"/>
      <w:lvlJc w:val="start"/>
      <w:pPr>
        <w:tabs>
          <w:tab w:val="num" w:pos="0"/>
        </w:tabs>
        <w:ind w:start="5412" w:hanging="474"/>
      </w:pPr>
      <w:rPr>
        <w:rFonts w:ascii="Wingdings" w:hAnsi="Wingdings" w:cs="Wingdings" w:hint="default"/>
      </w:rPr>
    </w:lvl>
    <w:lvl w:ilvl="6">
      <w:start w:val="1"/>
      <w:numFmt w:val="bullet"/>
      <w:lvlText w:val="l"/>
      <w:lvlJc w:val="start"/>
      <w:pPr>
        <w:tabs>
          <w:tab w:val="num" w:pos="0"/>
        </w:tabs>
        <w:ind w:start="6403" w:hanging="474"/>
      </w:pPr>
      <w:rPr>
        <w:rFonts w:ascii="Wingdings" w:hAnsi="Wingdings" w:cs="Wingdings" w:hint="default"/>
      </w:rPr>
    </w:lvl>
    <w:lvl w:ilvl="7">
      <w:start w:val="1"/>
      <w:numFmt w:val="bullet"/>
      <w:lvlText w:val="l"/>
      <w:lvlJc w:val="start"/>
      <w:pPr>
        <w:tabs>
          <w:tab w:val="num" w:pos="0"/>
        </w:tabs>
        <w:ind w:start="7393" w:hanging="474"/>
      </w:pPr>
      <w:rPr>
        <w:rFonts w:ascii="Wingdings" w:hAnsi="Wingdings" w:cs="Wingdings" w:hint="default"/>
      </w:rPr>
    </w:lvl>
    <w:lvl w:ilvl="8">
      <w:start w:val="1"/>
      <w:numFmt w:val="bullet"/>
      <w:lvlText w:val="l"/>
      <w:lvlJc w:val="start"/>
      <w:pPr>
        <w:tabs>
          <w:tab w:val="num" w:pos="0"/>
        </w:tabs>
        <w:ind w:start="8384" w:hanging="474"/>
      </w:pPr>
      <w:rPr>
        <w:rFonts w:ascii="Wingdings" w:hAnsi="Wingdings" w:cs="Wingdings" w:hint="default"/>
      </w:rPr>
    </w:lvl>
  </w:abstractNum>
  <w:abstractNum w:abstractNumId="16">
    <w:lvl w:ilvl="0">
      <w:start w:val="13"/>
      <w:numFmt w:val="decimal"/>
      <w:lvlText w:val="%1"/>
      <w:lvlJc w:val="start"/>
      <w:pPr>
        <w:tabs>
          <w:tab w:val="num" w:pos="0"/>
        </w:tabs>
        <w:ind w:start="456" w:hanging="480"/>
      </w:pPr>
      <w:rPr/>
    </w:lvl>
    <w:lvl w:ilvl="1">
      <w:start w:val="1"/>
      <w:numFmt w:val="decimal"/>
      <w:lvlText w:val="%1.%2"/>
      <w:lvlJc w:val="start"/>
      <w:pPr>
        <w:tabs>
          <w:tab w:val="num" w:pos="0"/>
        </w:tabs>
        <w:ind w:start="456" w:hanging="480"/>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441" w:hanging="480"/>
      </w:pPr>
      <w:rPr>
        <w:rFonts w:ascii="Wingdings" w:hAnsi="Wingdings" w:cs="Wingdings" w:hint="default"/>
      </w:rPr>
    </w:lvl>
    <w:lvl w:ilvl="3">
      <w:start w:val="1"/>
      <w:numFmt w:val="bullet"/>
      <w:lvlText w:val="l"/>
      <w:lvlJc w:val="start"/>
      <w:pPr>
        <w:tabs>
          <w:tab w:val="num" w:pos="0"/>
        </w:tabs>
        <w:ind w:start="3431" w:hanging="480"/>
      </w:pPr>
      <w:rPr>
        <w:rFonts w:ascii="Wingdings" w:hAnsi="Wingdings" w:cs="Wingdings" w:hint="default"/>
      </w:rPr>
    </w:lvl>
    <w:lvl w:ilvl="4">
      <w:start w:val="1"/>
      <w:numFmt w:val="bullet"/>
      <w:lvlText w:val="l"/>
      <w:lvlJc w:val="start"/>
      <w:pPr>
        <w:tabs>
          <w:tab w:val="num" w:pos="0"/>
        </w:tabs>
        <w:ind w:start="4422" w:hanging="480"/>
      </w:pPr>
      <w:rPr>
        <w:rFonts w:ascii="Wingdings" w:hAnsi="Wingdings" w:cs="Wingdings" w:hint="default"/>
      </w:rPr>
    </w:lvl>
    <w:lvl w:ilvl="5">
      <w:start w:val="1"/>
      <w:numFmt w:val="bullet"/>
      <w:lvlText w:val="l"/>
      <w:lvlJc w:val="start"/>
      <w:pPr>
        <w:tabs>
          <w:tab w:val="num" w:pos="0"/>
        </w:tabs>
        <w:ind w:start="5412" w:hanging="480"/>
      </w:pPr>
      <w:rPr>
        <w:rFonts w:ascii="Wingdings" w:hAnsi="Wingdings" w:cs="Wingdings" w:hint="default"/>
      </w:rPr>
    </w:lvl>
    <w:lvl w:ilvl="6">
      <w:start w:val="1"/>
      <w:numFmt w:val="bullet"/>
      <w:lvlText w:val="l"/>
      <w:lvlJc w:val="start"/>
      <w:pPr>
        <w:tabs>
          <w:tab w:val="num" w:pos="0"/>
        </w:tabs>
        <w:ind w:start="6403" w:hanging="480"/>
      </w:pPr>
      <w:rPr>
        <w:rFonts w:ascii="Wingdings" w:hAnsi="Wingdings" w:cs="Wingdings" w:hint="default"/>
      </w:rPr>
    </w:lvl>
    <w:lvl w:ilvl="7">
      <w:start w:val="1"/>
      <w:numFmt w:val="bullet"/>
      <w:lvlText w:val="l"/>
      <w:lvlJc w:val="start"/>
      <w:pPr>
        <w:tabs>
          <w:tab w:val="num" w:pos="0"/>
        </w:tabs>
        <w:ind w:start="7393" w:hanging="480"/>
      </w:pPr>
      <w:rPr>
        <w:rFonts w:ascii="Wingdings" w:hAnsi="Wingdings" w:cs="Wingdings" w:hint="default"/>
      </w:rPr>
    </w:lvl>
    <w:lvl w:ilvl="8">
      <w:start w:val="1"/>
      <w:numFmt w:val="bullet"/>
      <w:lvlText w:val="l"/>
      <w:lvlJc w:val="start"/>
      <w:pPr>
        <w:tabs>
          <w:tab w:val="num" w:pos="0"/>
        </w:tabs>
        <w:ind w:start="8384" w:hanging="480"/>
      </w:pPr>
      <w:rPr>
        <w:rFonts w:ascii="Wingdings" w:hAnsi="Wingdings" w:cs="Wingdings" w:hint="default"/>
      </w:rPr>
    </w:lvl>
  </w:abstractNum>
  <w:abstractNum w:abstractNumId="17">
    <w:lvl w:ilvl="0">
      <w:start w:val="12"/>
      <w:numFmt w:val="decimal"/>
      <w:lvlText w:val="%1"/>
      <w:lvlJc w:val="start"/>
      <w:pPr>
        <w:tabs>
          <w:tab w:val="num" w:pos="0"/>
        </w:tabs>
        <w:ind w:start="456" w:hanging="494"/>
      </w:pPr>
      <w:rPr/>
    </w:lvl>
    <w:lvl w:ilvl="1">
      <w:start w:val="1"/>
      <w:numFmt w:val="decimal"/>
      <w:lvlText w:val="%1.%2"/>
      <w:lvlJc w:val="start"/>
      <w:pPr>
        <w:tabs>
          <w:tab w:val="num" w:pos="0"/>
        </w:tabs>
        <w:ind w:start="456" w:hanging="494"/>
      </w:pPr>
      <w:rPr>
        <w:rFonts w:ascii="Garamond" w:hAnsi="Garamond" w:eastAsia="Garamond" w:cs="Garamond"/>
        <w:b w:val="false"/>
        <w:bCs w:val="false"/>
        <w:i w:val="false"/>
        <w:iCs w:val="false"/>
        <w:sz w:val="24"/>
        <w:szCs w:val="24"/>
      </w:rPr>
    </w:lvl>
    <w:lvl w:ilvl="2">
      <w:start w:val="1"/>
      <w:numFmt w:val="bullet"/>
      <w:lvlText w:val="l"/>
      <w:lvlJc w:val="start"/>
      <w:pPr>
        <w:tabs>
          <w:tab w:val="num" w:pos="0"/>
        </w:tabs>
        <w:ind w:start="2441" w:hanging="494"/>
      </w:pPr>
      <w:rPr>
        <w:rFonts w:ascii="Wingdings" w:hAnsi="Wingdings" w:cs="Wingdings" w:hint="default"/>
      </w:rPr>
    </w:lvl>
    <w:lvl w:ilvl="3">
      <w:start w:val="1"/>
      <w:numFmt w:val="bullet"/>
      <w:lvlText w:val="l"/>
      <w:lvlJc w:val="start"/>
      <w:pPr>
        <w:tabs>
          <w:tab w:val="num" w:pos="0"/>
        </w:tabs>
        <w:ind w:start="3431" w:hanging="494"/>
      </w:pPr>
      <w:rPr>
        <w:rFonts w:ascii="Wingdings" w:hAnsi="Wingdings" w:cs="Wingdings" w:hint="default"/>
      </w:rPr>
    </w:lvl>
    <w:lvl w:ilvl="4">
      <w:start w:val="1"/>
      <w:numFmt w:val="bullet"/>
      <w:lvlText w:val="l"/>
      <w:lvlJc w:val="start"/>
      <w:pPr>
        <w:tabs>
          <w:tab w:val="num" w:pos="0"/>
        </w:tabs>
        <w:ind w:start="4422" w:hanging="494"/>
      </w:pPr>
      <w:rPr>
        <w:rFonts w:ascii="Wingdings" w:hAnsi="Wingdings" w:cs="Wingdings" w:hint="default"/>
      </w:rPr>
    </w:lvl>
    <w:lvl w:ilvl="5">
      <w:start w:val="1"/>
      <w:numFmt w:val="bullet"/>
      <w:lvlText w:val="l"/>
      <w:lvlJc w:val="start"/>
      <w:pPr>
        <w:tabs>
          <w:tab w:val="num" w:pos="0"/>
        </w:tabs>
        <w:ind w:start="5412" w:hanging="494"/>
      </w:pPr>
      <w:rPr>
        <w:rFonts w:ascii="Wingdings" w:hAnsi="Wingdings" w:cs="Wingdings" w:hint="default"/>
      </w:rPr>
    </w:lvl>
    <w:lvl w:ilvl="6">
      <w:start w:val="1"/>
      <w:numFmt w:val="bullet"/>
      <w:lvlText w:val="l"/>
      <w:lvlJc w:val="start"/>
      <w:pPr>
        <w:tabs>
          <w:tab w:val="num" w:pos="0"/>
        </w:tabs>
        <w:ind w:start="6403" w:hanging="494"/>
      </w:pPr>
      <w:rPr>
        <w:rFonts w:ascii="Wingdings" w:hAnsi="Wingdings" w:cs="Wingdings" w:hint="default"/>
      </w:rPr>
    </w:lvl>
    <w:lvl w:ilvl="7">
      <w:start w:val="1"/>
      <w:numFmt w:val="bullet"/>
      <w:lvlText w:val="l"/>
      <w:lvlJc w:val="start"/>
      <w:pPr>
        <w:tabs>
          <w:tab w:val="num" w:pos="0"/>
        </w:tabs>
        <w:ind w:start="7393" w:hanging="494"/>
      </w:pPr>
      <w:rPr>
        <w:rFonts w:ascii="Wingdings" w:hAnsi="Wingdings" w:cs="Wingdings" w:hint="default"/>
      </w:rPr>
    </w:lvl>
    <w:lvl w:ilvl="8">
      <w:start w:val="1"/>
      <w:numFmt w:val="bullet"/>
      <w:lvlText w:val="l"/>
      <w:lvlJc w:val="start"/>
      <w:pPr>
        <w:tabs>
          <w:tab w:val="num" w:pos="0"/>
        </w:tabs>
        <w:ind w:start="8384" w:hanging="494"/>
      </w:pPr>
      <w:rPr>
        <w:rFonts w:ascii="Wingdings" w:hAnsi="Wingdings" w:cs="Wingdings" w:hint="default"/>
      </w:rPr>
    </w:lvl>
  </w:abstractNum>
  <w:abstractNum w:abstractNumId="18">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14</Pages>
  <Words>5689</Words>
  <Characters>33832</Characters>
  <CharactersWithSpaces>39751</CharactersWithSpaces>
  <Paragraphs>178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